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Endogeneidad: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Endogeneidad: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causas y consecuencias</vt:lpwstr>
  </property>
  <property fmtid="{D5CDD505-2E9C-101B-9397-08002B2CF9AE}" pid="9" name="apatitle">
    <vt:lpwstr>Endogeneidad</vt:lpwstr>
  </property>
  <property fmtid="{D5CDD505-2E9C-101B-9397-08002B2CF9AE}" pid="10" name="apatitledisplay">
    <vt:lpwstr>Endogeneidad: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ENDOGENEIDAD EN REGRESIÓN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128</vt:lpwstr>
  </property>
  <property fmtid="{D5CDD505-2E9C-101B-9397-08002B2CF9AE}" pid="103" name="zerocitations">
    <vt:lpwstr>True</vt:lpwstr>
  </property>
</Properties>
</file>