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Consistencia y propiedades asintóticas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Consistencia y propiedades asintóticas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PROPIEDADES MCO INFINITAS</dc:description>
  <dc:language>es</dc:language>
  <cp:keywords>keyword1, keyword2</cp:keywords>
  <dcterms:created xsi:type="dcterms:W3CDTF">2026-07-13T12:30:27Z</dcterms:created>
  <dcterms:modified xsi:type="dcterms:W3CDTF">2026-07-13T12:30:27Z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2021-03-29</vt:lpwstr>
  </property>
  <property fmtid="{D5CDD505-2E9C-101B-9397-08002B2CF9AE}" pid="8" name="apatitle">
    <vt:lpwstr>Consistencia y propiedades asintóticas MCO</vt:lpwstr>
  </property>
  <property fmtid="{D5CDD505-2E9C-101B-9397-08002B2CF9AE}" pid="9" name="apatitledisplay">
    <vt:lpwstr>Consistencia y propiedades asintóticas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PROPIEDADES MCO INFINITAS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128</vt:lpwstr>
  </property>
  <property fmtid="{D5CDD505-2E9C-101B-9397-08002B2CF9AE}" pid="99" name="zerocitations">
    <vt:lpwstr>True</vt:lpwstr>
  </property>
</Properties>
</file>