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Trade-off sesgo-varianza en estimación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Trade-off sesgo-varianza en estimación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SESGO-VARIANZA TRADE OFF</dc:description>
  <dc:language>es</dc:language>
  <cp:keywords>keyword1, keyword2</cp:keywords>
  <dcterms:created xsi:type="dcterms:W3CDTF">2026-07-13T12:30:40Z</dcterms:created>
  <dcterms:modified xsi:type="dcterms:W3CDTF">2026-07-13T12:30:40Z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2021-04-10</vt:lpwstr>
  </property>
  <property fmtid="{D5CDD505-2E9C-101B-9397-08002B2CF9AE}" pid="8" name="apatitle">
    <vt:lpwstr>Trade-off sesgo-varianza en estimación</vt:lpwstr>
  </property>
  <property fmtid="{D5CDD505-2E9C-101B-9397-08002B2CF9AE}" pid="9" name="apatitledisplay">
    <vt:lpwstr>Trade-off sesgo-varianza en estimación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SESGO-VARIANZA TRADE OFF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