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Endogeneidad: causas y consecuencias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Endogeneidad: causas y consecuencias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ENDOGENEIDAD EN REGRESIÓN</dc:description>
  <dc:language>es</dc:language>
  <cp:keywords>keyword1, keyword2</cp:keywords>
  <dcterms:created xsi:type="dcterms:W3CDTF">2026-07-13T12:29:42Z</dcterms:created>
  <dcterms:modified xsi:type="dcterms:W3CDTF">2026-07-13T12:29:42Z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2021-05-17</vt:lpwstr>
  </property>
  <property fmtid="{D5CDD505-2E9C-101B-9397-08002B2CF9AE}" pid="8" name="apasubtitle">
    <vt:lpwstr>causas y consecuencias</vt:lpwstr>
  </property>
  <property fmtid="{D5CDD505-2E9C-101B-9397-08002B2CF9AE}" pid="9" name="apatitle">
    <vt:lpwstr>Endogeneidad</vt:lpwstr>
  </property>
  <property fmtid="{D5CDD505-2E9C-101B-9397-08002B2CF9AE}" pid="10" name="apatitledisplay">
    <vt:lpwstr>Endogeneidad: causas y consecuencias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2026-07-13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ENDOGENEIDAD EN REGRESIÓN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