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factores latentes dinámicos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factores latentes dinámicos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FACTORES LATENTES</dc:description>
  <dc:language>es</dc:language>
  <cp:keywords>keyword1, keyword2</cp:keywords>
  <dcterms:created xsi:type="dcterms:W3CDTF">2026-07-13T12:26:59Z</dcterms:created>
  <dcterms:modified xsi:type="dcterms:W3CDTF">2026-07-13T12:26:59Z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2021-10-04</vt:lpwstr>
  </property>
  <property fmtid="{D5CDD505-2E9C-101B-9397-08002B2CF9AE}" pid="8" name="apatitle">
    <vt:lpwstr>Modelos de factores latentes dinámicos</vt:lpwstr>
  </property>
  <property fmtid="{D5CDD505-2E9C-101B-9397-08002B2CF9AE}" pid="9" name="apatitledisplay">
    <vt:lpwstr>Modelos de factores latentes dinámicos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FACTORES LATENTES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76</vt:lpwstr>
  </property>
  <property fmtid="{D5CDD505-2E9C-101B-9397-08002B2CF9AE}" pid="99" name="zerocitations">
    <vt:lpwstr>True</vt:lpwstr>
  </property>
</Properties>
</file>