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para variables fraccionadas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para variables fraccionadas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FRACCIONADOS</dc:description>
  <dc:language>es</dc:language>
  <cp:keywords>keyword1, keyword2</cp:keywords>
  <dcterms:created xsi:type="dcterms:W3CDTF">2026-07-13T12:27:18Z</dcterms:created>
  <dcterms:modified xsi:type="dcterms:W3CDTF">2026-07-13T12:27:18Z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2021-10-25</vt:lpwstr>
  </property>
  <property fmtid="{D5CDD505-2E9C-101B-9397-08002B2CF9AE}" pid="8" name="apatitle">
    <vt:lpwstr>Modelos para variables fraccionadas</vt:lpwstr>
  </property>
  <property fmtid="{D5CDD505-2E9C-101B-9397-08002B2CF9AE}" pid="9" name="apatitledisplay">
    <vt:lpwstr>Modelos para variables fraccionadas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MODELOS FRACCIONADOS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98</vt:lpwstr>
  </property>
  <property fmtid="{D5CDD505-2E9C-101B-9397-08002B2CF9AE}" pid="99" name="zerocitations">
    <vt:lpwstr>True</vt:lpwstr>
  </property>
</Properties>
</file>