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Efectos fijos y diferencias en diferencias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Efectos fijos y diferencias en diferencias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EFECTOS FIJOS Y DIFERENCIAS</dc:description>
  <dc:language>es</dc:language>
  <cp:keywords>keyword1, keyword2</cp:keywords>
  <dcterms:created xsi:type="dcterms:W3CDTF">2026-07-13T12:28:24Z</dcterms:created>
  <dcterms:modified xsi:type="dcterms:W3CDTF">2026-07-13T12:28:24Z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Efectos fijos y diferencias en diferencias</vt:lpwstr>
  </property>
  <property fmtid="{D5CDD505-2E9C-101B-9397-08002B2CF9AE}" pid="9" name="apatitledisplay">
    <vt:lpwstr>Efectos fijos y diferencias en diferencias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EFECTOS FIJOS Y DIFERENCIAS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99</vt:lpwstr>
  </property>
  <property fmtid="{D5CDD505-2E9C-101B-9397-08002B2CF9AE}" pid="99" name="zerocitations">
    <vt:lpwstr>True</vt:lpwstr>
  </property>
</Properties>
</file>