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 general con heterocedasticidad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 general con heterocedasticidad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HETEROCEDÁSTICA</dc:description>
  <dc:language>es</dc:language>
  <cp:keywords/>
  <dcterms:created xsi:type="dcterms:W3CDTF">2026-10-05T02:17:30Z</dcterms:created>
  <dcterms:modified xsi:type="dcterms:W3CDTF">2026-10-05T02:17:30Z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2021-05-10</vt:lpwstr>
  </property>
  <property fmtid="{D5CDD505-2E9C-101B-9397-08002B2CF9AE}" pid="8" name="apatitle">
    <vt:lpwstr>Modelo general con heterocedasticidad</vt:lpwstr>
  </property>
  <property fmtid="{D5CDD505-2E9C-101B-9397-08002B2CF9AE}" pid="9" name="apatitledisplay">
    <vt:lpwstr>Modelo general con heterocedasticidad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REGRESIÓN HETEROCEDÁSTICA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