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evaluación de impacto causal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evaluación de impacto causal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EVALUACIÓN DE IMPACTO</dc:description>
  <dc:language>es</dc:language>
  <cp:keywords/>
  <dcterms:created xsi:type="dcterms:W3CDTF">2026-10-05T02:11:42Z</dcterms:created>
  <dcterms:modified xsi:type="dcterms:W3CDTF">2026-10-05T02:11:42Z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2022-04-04</vt:lpwstr>
  </property>
  <property fmtid="{D5CDD505-2E9C-101B-9397-08002B2CF9AE}" pid="8" name="apatitle">
    <vt:lpwstr>Introducción evaluación de impacto causal</vt:lpwstr>
  </property>
  <property fmtid="{D5CDD505-2E9C-101B-9397-08002B2CF9AE}" pid="9" name="apatitledisplay">
    <vt:lpwstr>Introducción evaluación de impacto causal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EVALUACIÓN DE IMPACTO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100</vt:lpwstr>
  </property>
  <property fmtid="{D5CDD505-2E9C-101B-9397-08002B2CF9AE}" pid="102" name="zerocitations">
    <vt:lpwstr>True</vt:lpwstr>
  </property>
</Properties>
</file>