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Efectos fijos y diferencias en diferencias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Efectos fijos y diferencias en diferencias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EFECTOS FIJOS Y DIFERENCIAS</dc:description>
  <dc:language>es</dc:language>
  <cp:keywords/>
  <dcterms:created xsi:type="dcterms:W3CDTF">2026-10-05T02:15:23Z</dcterms:created>
  <dcterms:modified xsi:type="dcterms:W3CDTF">2026-10-05T02:15:23Z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2022-06-06</vt:lpwstr>
  </property>
  <property fmtid="{D5CDD505-2E9C-101B-9397-08002B2CF9AE}" pid="8" name="apatitle">
    <vt:lpwstr>Efectos fijos y diferencias en diferencias</vt:lpwstr>
  </property>
  <property fmtid="{D5CDD505-2E9C-101B-9397-08002B2CF9AE}" pid="9" name="apatitledisplay">
    <vt:lpwstr>Efectos fijos y diferencias en diferencias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2026-10-04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EFECTOS FIJOS Y DIFERENCIAS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99</vt:lpwstr>
  </property>
  <property fmtid="{D5CDD505-2E9C-101B-9397-08002B2CF9AE}" pid="102" name="zerocitations">
    <vt:lpwstr>True</vt:lpwstr>
  </property>
</Properties>
</file>