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Estimador de Mínimos Cuadrados Ordinarios: Métodos y Aplicaciones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Estimador de Mínimos Cuadrados Ordinarios: Métodos y Aplicaciones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ESTIMADOR MCO</dc:description>
  <dc:language>es</dc:language>
  <cp:keywords>keyword1, keyword2</cp:keywords>
  <dcterms:created xsi:type="dcterms:W3CDTF">2025-07-17T09:27:53Z</dcterms:created>
  <dcterms:modified xsi:type="dcterms:W3CDTF">2025-07-17T09:27:53Z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2021-03-08</vt:lpwstr>
  </property>
  <property fmtid="{D5CDD505-2E9C-101B-9397-08002B2CF9AE}" pid="8" name="apasubtitle">
    <vt:lpwstr>Métodos y Aplicaciones</vt:lpwstr>
  </property>
  <property fmtid="{D5CDD505-2E9C-101B-9397-08002B2CF9AE}" pid="9" name="apatitle">
    <vt:lpwstr>Estimador de Mínimos Cuadrados Ordinarios</vt:lpwstr>
  </property>
  <property fmtid="{D5CDD505-2E9C-101B-9397-08002B2CF9AE}" pid="10" name="apatitledisplay">
    <vt:lpwstr>Estimador de Mínimos Cuadrados Ordinarios: Métodos y Aplicaciones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ESTIMADOR MCO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