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de Emparejamiento: Uso del Propensity Score Matching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 de Emparejamiento: Uso del Propensity Score Matching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EMPAREJAMIENTO</dc:description>
  <dc:language>es</dc:language>
  <cp:keywords>keyword1, keyword2</cp:keywords>
  <dcterms:created xsi:type="dcterms:W3CDTF">2025-07-17T09:23:39Z</dcterms:created>
  <dcterms:modified xsi:type="dcterms:W3CDTF">2025-07-17T09:23:39Z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2022-04-18</vt:lpwstr>
  </property>
  <property fmtid="{D5CDD505-2E9C-101B-9397-08002B2CF9AE}" pid="8" name="apasubtitle">
    <vt:lpwstr>Uso del Propensity Score Matching</vt:lpwstr>
  </property>
  <property fmtid="{D5CDD505-2E9C-101B-9397-08002B2CF9AE}" pid="9" name="apatitle">
    <vt:lpwstr>Modelo de Emparejamiento</vt:lpwstr>
  </property>
  <property fmtid="{D5CDD505-2E9C-101B-9397-08002B2CF9AE}" pid="10" name="apatitledisplay">
    <vt:lpwstr>Modelo de Emparejamiento: Uso del Propensity Score Matching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MODELO DE EMPAREJAMIENTO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