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Efectos Fijos y Diferencias: Análisis de Datos de Panel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Efectos Fijos y Diferencias: Análisis de Datos de Panel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EFECTOS FIJOS Y DIFERENCIAS</dc:description>
  <dc:language>es</dc:language>
  <cp:keywords>keyword1, keyword2</cp:keywords>
  <dcterms:created xsi:type="dcterms:W3CDTF">2025-07-17T09:30:39Z</dcterms:created>
  <dcterms:modified xsi:type="dcterms:W3CDTF">2025-07-17T09:30:39Z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2022-06-06</vt:lpwstr>
  </property>
  <property fmtid="{D5CDD505-2E9C-101B-9397-08002B2CF9AE}" pid="8" name="apasubtitle">
    <vt:lpwstr>Análisis de Datos de Panel</vt:lpwstr>
  </property>
  <property fmtid="{D5CDD505-2E9C-101B-9397-08002B2CF9AE}" pid="9" name="apatitle">
    <vt:lpwstr>Efectos Fijos y Diferencias</vt:lpwstr>
  </property>
  <property fmtid="{D5CDD505-2E9C-101B-9397-08002B2CF9AE}" pid="10" name="apatitledisplay">
    <vt:lpwstr>Efectos Fijos y Diferencias: Análisis de Datos de Panel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EFECTOS FIJOS Y DIFERENCIAS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