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Consistencia y propiedades asintóticas MCO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Consistencia y propiedades asintóticas MCO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PROPIEDADES MCO INFINITAS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2021-03-29</vt:lpwstr>
  </property>
  <property fmtid="{D5CDD505-2E9C-101B-9397-08002B2CF9AE}" pid="8" name="apatitle">
    <vt:lpwstr>Consistencia y propiedades asintóticas MCO</vt:lpwstr>
  </property>
  <property fmtid="{D5CDD505-2E9C-101B-9397-08002B2CF9AE}" pid="9" name="apatitledisplay">
    <vt:lpwstr>Consistencia y propiedades asintóticas MCO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PROPIEDADES MCO INFINITAS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128</vt:lpwstr>
  </property>
  <property fmtid="{D5CDD505-2E9C-101B-9397-08002B2CF9AE}" pid="100" name="zerocitations">
    <vt:lpwstr>True</vt:lpwstr>
  </property>
</Properties>
</file>