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factores latentes dinámicos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factores latentes dinámicos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FACTORES LATENTES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2021-10-04</vt:lpwstr>
  </property>
  <property fmtid="{D5CDD505-2E9C-101B-9397-08002B2CF9AE}" pid="8" name="apatitle">
    <vt:lpwstr>Modelos de factores latentes dinámicos</vt:lpwstr>
  </property>
  <property fmtid="{D5CDD505-2E9C-101B-9397-08002B2CF9AE}" pid="9" name="apatitledisplay">
    <vt:lpwstr>Modelos de factores latentes dinámicos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FACTORES LATENTES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76</vt:lpwstr>
  </property>
  <property fmtid="{D5CDD505-2E9C-101B-9397-08002B2CF9AE}" pid="100" name="zerocitations">
    <vt:lpwstr>True</vt:lpwstr>
  </property>
</Properties>
</file>