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evaluación de impacto causal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evaluación de impacto causal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EVALUACIÓN DE IMPACTO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2022-04-04</vt:lpwstr>
  </property>
  <property fmtid="{D5CDD505-2E9C-101B-9397-08002B2CF9AE}" pid="8" name="apatitle">
    <vt:lpwstr>Introducción evaluación de impacto causal</vt:lpwstr>
  </property>
  <property fmtid="{D5CDD505-2E9C-101B-9397-08002B2CF9AE}" pid="9" name="apatitledisplay">
    <vt:lpwstr>Introducción evaluación de impacto causal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EVALUACIÓN DE IMPACTO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100</vt:lpwstr>
  </property>
  <property fmtid="{D5CDD505-2E9C-101B-9397-08002B2CF9AE}" pid="100" name="zerocitations">
    <vt:lpwstr>True</vt:lpwstr>
  </property>
</Properties>
</file>