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8"/>
    <w:bookmarkStart w:id="36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9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9"/>
    <w:bookmarkStart w:id="30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30"/>
    <w:bookmarkStart w:id="31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31"/>
    <w:bookmarkStart w:id="32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2"/>
    <w:bookmarkStart w:id="33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3"/>
    <w:bookmarkStart w:id="35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5"/>
    <w:bookmarkEnd w:id="36"/>
    <w:bookmarkStart w:id="44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7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7"/>
    <w:bookmarkStart w:id="38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8"/>
    <w:bookmarkStart w:id="39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9"/>
    <w:bookmarkStart w:id="40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40"/>
    <w:bookmarkStart w:id="41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41"/>
    <w:bookmarkStart w:id="43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3"/>
    <w:bookmarkEnd w:id="44"/>
    <w:bookmarkStart w:id="52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5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5"/>
    <w:bookmarkStart w:id="46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6"/>
    <w:bookmarkStart w:id="47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7"/>
    <w:bookmarkStart w:id="48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8"/>
    <w:bookmarkStart w:id="49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9"/>
    <w:bookmarkStart w:id="50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50"/>
    <w:bookmarkStart w:id="51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51"/>
    <w:bookmarkEnd w:id="52"/>
    <w:bookmarkStart w:id="60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3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3"/>
    <w:bookmarkStart w:id="54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4"/>
    <w:bookmarkStart w:id="55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5"/>
    <w:bookmarkStart w:id="56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6"/>
    <w:bookmarkStart w:id="57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7"/>
    <w:bookmarkStart w:id="58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t>B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I</m:t>
          </m:r>
          <m:r>
            <m:t>n</m:t>
          </m:r>
          <m:r>
            <m:t>v</m:t>
          </m:r>
          <m:r>
            <m:t>V</m:t>
          </m:r>
          <m:r>
            <m:t>i</m:t>
          </m:r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8"/>
    <w:bookmarkStart w:id="59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9"/>
    <w:bookmarkEnd w:id="60"/>
    <w:bookmarkStart w:id="69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61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61"/>
    <w:bookmarkStart w:id="62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2"/>
    <w:bookmarkStart w:id="63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3"/>
    <w:bookmarkStart w:id="64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4"/>
    <w:bookmarkStart w:id="65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5"/>
    <w:bookmarkStart w:id="66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6"/>
    <w:bookmarkStart w:id="67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8"/>
        </w:numPr>
      </w:pPr>
      <w:r>
        <w:t xml:space="preserve">Y_t: ln(PBI regional)</w:t>
      </w:r>
    </w:p>
    <w:p>
      <w:pPr>
        <w:pStyle w:val="Compact"/>
        <w:numPr>
          <w:ilvl w:val="0"/>
          <w:numId w:val="1018"/>
        </w:numPr>
      </w:pPr>
      <w:r>
        <w:t xml:space="preserve">X_t: ln(Inversión pública)</w:t>
      </w:r>
    </w:p>
    <w:p>
      <w:pPr>
        <w:pStyle w:val="Compact"/>
        <w:numPr>
          <w:ilvl w:val="0"/>
          <w:numId w:val="1018"/>
        </w:numPr>
      </w:pPr>
      <w:r>
        <w:t xml:space="preserve">α: Velocidad de ajuste</w:t>
      </w:r>
    </w:p>
    <w:p>
      <w:pPr>
        <w:pStyle w:val="Compact"/>
        <w:numPr>
          <w:ilvl w:val="0"/>
          <w:numId w:val="1018"/>
        </w:numPr>
      </w:pPr>
      <w:r>
        <w:t xml:space="preserve">β: Coeficiente de cointegración (relación de largo plazo)</w:t>
      </w:r>
    </w:p>
    <w:p>
      <w:pPr>
        <w:pStyle w:val="Compact"/>
        <w:numPr>
          <w:ilvl w:val="0"/>
          <w:numId w:val="1018"/>
        </w:numPr>
      </w:pPr>
      <w:r>
        <w:t xml:space="preserve">γ, δ: Efectos de corto plazo</w:t>
      </w:r>
    </w:p>
    <w:p>
      <w:pPr>
        <w:pStyle w:val="FirstParagraph"/>
      </w:pPr>
      <w:r>
        <w:rPr>
          <w:b/>
          <w:bCs/>
        </w:rPr>
        <w:t xml:space="preserve">Modelo VAR (si no hay cointegración):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·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 Y_t es un vector que incluye PBI e inversión pública.</w:t>
      </w:r>
    </w:p>
    <w:bookmarkEnd w:id="67"/>
    <w:bookmarkStart w:id="68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9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9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9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8"/>
    <w:bookmarkEnd w:id="69"/>
    <w:bookmarkStart w:id="77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70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70"/>
    <w:bookmarkStart w:id="71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71"/>
    <w:bookmarkStart w:id="72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2"/>
    <w:bookmarkStart w:id="73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3"/>
    <w:bookmarkStart w:id="74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4"/>
    <w:bookmarkStart w:id="75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5"/>
    <w:bookmarkStart w:id="76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2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2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2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6"/>
    <w:bookmarkEnd w:id="77"/>
    <w:bookmarkStart w:id="86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8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8"/>
    <w:bookmarkStart w:id="79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9"/>
    <w:bookmarkStart w:id="80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80"/>
    <w:bookmarkStart w:id="81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81"/>
    <w:bookmarkStart w:id="82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2"/>
    <w:bookmarkStart w:id="83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3"/>
    <w:bookmarkStart w:id="84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5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5"/>
        </w:numPr>
      </w:pPr>
      <w:r>
        <w:t xml:space="preserve">Significancia estadística (p &lt; 0.05)</w:t>
      </w:r>
    </w:p>
    <w:bookmarkEnd w:id="84"/>
    <w:bookmarkStart w:id="85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6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6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6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5"/>
    <w:bookmarkEnd w:id="86"/>
    <w:bookmarkStart w:id="95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7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7"/>
    <w:bookmarkStart w:id="88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8"/>
    <w:bookmarkStart w:id="89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9"/>
    <w:bookmarkStart w:id="90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90"/>
    <w:bookmarkStart w:id="91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91"/>
    <w:bookmarkStart w:id="92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8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8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9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9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30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1"/>
        </w:numPr>
      </w:pPr>
      <w:r>
        <w:t xml:space="preserve">Average Treatment Effect on the Treated (ATT)</w:t>
      </w:r>
    </w:p>
    <w:bookmarkEnd w:id="92"/>
    <w:bookmarkStart w:id="93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2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2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2"/>
        </w:numPr>
      </w:pPr>
      <w:r>
        <w:t xml:space="preserve">Historias de vida</w:t>
      </w:r>
    </w:p>
    <w:bookmarkEnd w:id="93"/>
    <w:bookmarkStart w:id="94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3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3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3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4"/>
    <w:bookmarkEnd w:id="95"/>
    <w:bookmarkStart w:id="103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6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6"/>
    <w:bookmarkStart w:id="97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7"/>
    <w:bookmarkStart w:id="98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8"/>
    <w:bookmarkStart w:id="99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9"/>
    <w:bookmarkStart w:id="100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100"/>
    <w:bookmarkStart w:id="101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101"/>
    <w:bookmarkStart w:id="102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6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6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6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2"/>
    <w:bookmarkEnd w:id="103"/>
    <w:bookmarkStart w:id="112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4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4"/>
    <w:bookmarkStart w:id="105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5"/>
    <w:bookmarkStart w:id="106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6"/>
    <w:bookmarkStart w:id="107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7"/>
    <w:bookmarkStart w:id="108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8"/>
    <w:bookmarkStart w:id="109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P</m:t>
          </m:r>
          <m:r>
            <m:t>o</m:t>
          </m:r>
          <m:r>
            <m:t>b</m:t>
          </m:r>
          <m:r>
            <m:t>r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u</m:t>
          </m:r>
          <m:r>
            <m:t>c</m:t>
          </m:r>
          <m:r>
            <m:t>a</m:t>
          </m:r>
          <m:r>
            <m:t>c</m:t>
          </m:r>
          <m:r>
            <m:t>i</m:t>
          </m:r>
          <m:r>
            <m:t>ó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₃</m:t>
          </m:r>
          <m:r>
            <m:rPr>
              <m:sty m:val="p"/>
            </m:rPr>
            <m:t>·</m:t>
          </m:r>
          <m:r>
            <m:t>T</m:t>
          </m:r>
          <m:r>
            <m:t>a</m:t>
          </m:r>
          <m:r>
            <m:t>m</m:t>
          </m:r>
          <m:r>
            <m:t>a</m:t>
          </m:r>
          <m:r>
            <m:t>ñ</m:t>
          </m:r>
          <m:r>
            <m:t>o</m:t>
          </m:r>
          <m:r>
            <m:t>H</m:t>
          </m:r>
          <m:r>
            <m:t>o</m:t>
          </m:r>
          <m:r>
            <m:t>g</m:t>
          </m:r>
          <m:r>
            <m:t>a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₄</m:t>
          </m:r>
          <m:r>
            <m:rPr>
              <m:sty m:val="p"/>
            </m:rPr>
            <m:t>·</m:t>
          </m:r>
          <m:r>
            <m:t>R</m:t>
          </m:r>
          <m:r>
            <m:t>a</m:t>
          </m:r>
          <m:r>
            <m:t>m</m:t>
          </m:r>
          <m:r>
            <m:t>a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₅</m:t>
          </m:r>
          <m:r>
            <m:rPr>
              <m:sty m:val="p"/>
            </m:rPr>
            <m:t>·</m:t>
          </m:r>
          <m:r>
            <m:t>I</m:t>
          </m:r>
          <m:r>
            <m:t>n</m:t>
          </m:r>
          <m:r>
            <m:t>f</m:t>
          </m:r>
          <m:r>
            <m:t>o</m:t>
          </m:r>
          <m:r>
            <m:t>r</m:t>
          </m:r>
          <m:r>
            <m:t>m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₆</m:t>
          </m:r>
          <m:r>
            <m:rPr>
              <m:sty m:val="p"/>
            </m:rPr>
            <m:t>·</m:t>
          </m:r>
          <m:r>
            <m:t>Á</m:t>
          </m:r>
          <m:r>
            <m:t>r</m:t>
          </m:r>
          <m:r>
            <m:t>e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8"/>
        </w:numPr>
      </w:pPr>
      <w:r>
        <w:t xml:space="preserve">Λ = Función logística</w:t>
      </w:r>
    </w:p>
    <w:p>
      <w:pPr>
        <w:pStyle w:val="Compact"/>
        <w:numPr>
          <w:ilvl w:val="0"/>
          <w:numId w:val="1038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8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9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9"/>
        </w:numPr>
      </w:pPr>
      <w:r>
        <w:t xml:space="preserve">Efectos marginales: Cambio en probabilidad ante cambio unitario en X</w:t>
      </w:r>
    </w:p>
    <w:bookmarkEnd w:id="109"/>
    <w:bookmarkStart w:id="110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40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40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40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40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40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40"/>
        </w:numPr>
      </w:pPr>
      <w:r>
        <w:t xml:space="preserve">Área urbana: Negativo (urbano → ↓ pobreza)</w:t>
      </w:r>
    </w:p>
    <w:bookmarkEnd w:id="110"/>
    <w:bookmarkStart w:id="111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1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1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1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11"/>
    <w:bookmarkEnd w:id="112"/>
    <w:bookmarkStart w:id="116" w:name="X02cdc375e12d4a31ae80bb1df08f46cf6ff106d"/>
    <w:p>
      <w:pPr>
        <w:pStyle w:val="Heading1"/>
      </w:pPr>
      <w:r>
        <w:t xml:space="preserve">11. Matriz 11: Factores de Desnutrición Infantil</w:t>
      </w:r>
    </w:p>
    <w:bookmarkStart w:id="113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3"/>
    <w:bookmarkStart w:id="114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4"/>
    <w:bookmarkStart w:id="115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5"/>
    <w:bookmarkEnd w:id="116"/>
    <w:bookmarkStart w:id="120" w:name="Xd16c027590d3d0bbaac5a4dfa6e63143b96e1e9"/>
    <w:p>
      <w:pPr>
        <w:pStyle w:val="Heading1"/>
      </w:pPr>
      <w:r>
        <w:t xml:space="preserve">12. Matriz 12: Recaudación de Impuestos Prediales</w:t>
      </w:r>
    </w:p>
    <w:bookmarkStart w:id="117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7"/>
    <w:bookmarkStart w:id="118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18"/>
    <w:bookmarkStart w:id="119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19"/>
    <w:bookmarkEnd w:id="120"/>
    <w:bookmarkStart w:id="124" w:name="Xbebb1e3380693457188bca6eca2d865be0bd69c"/>
    <w:p>
      <w:pPr>
        <w:pStyle w:val="Heading1"/>
      </w:pPr>
      <w:r>
        <w:t xml:space="preserve">13. Matriz 13: Choques Externos e Ingresos Tributarios</w:t>
      </w:r>
    </w:p>
    <w:bookmarkStart w:id="121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21"/>
    <w:bookmarkStart w:id="122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2"/>
    <w:bookmarkStart w:id="123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3"/>
    <w:bookmarkEnd w:id="124"/>
    <w:bookmarkStart w:id="127" w:name="fuentes-de-datos"/>
    <w:p>
      <w:pPr>
        <w:pStyle w:val="Heading1"/>
      </w:pPr>
      <w:r>
        <w:t xml:space="preserve">14. Fuentes de Datos</w:t>
      </w:r>
    </w:p>
    <w:bookmarkStart w:id="125" w:name="instituciones-nacionales"/>
    <w:p>
      <w:pPr>
        <w:pStyle w:val="Heading2"/>
      </w:pPr>
      <w:r>
        <w:t xml:space="preserve">14.1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5"/>
    <w:bookmarkStart w:id="126" w:name="instituciones-internacionales"/>
    <w:p>
      <w:pPr>
        <w:pStyle w:val="Heading2"/>
      </w:pPr>
      <w:r>
        <w:t xml:space="preserve">14.2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6"/>
    <w:bookmarkEnd w:id="127"/>
    <w:bookmarkStart w:id="128" w:name="referencias"/>
    <w:p>
      <w:pPr>
        <w:pStyle w:val="Heading1"/>
      </w:pPr>
      <w:r>
        <w:t xml:space="preserve">15.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28"/>
    <w:p>
      <w:pPr>
        <w:pStyle w:val="Heading1"/>
      </w:pPr>
      <w:r>
        <w:t xml:space="preserve">16. Anexo</w:t>
      </w:r>
    </w:p>
    <w:bookmarkStart w:id="143" w:name="apx-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48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48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>keyword1, keyword2</cp:keywords>
  <dcterms:created xsi:type="dcterms:W3CDTF">2026-07-13T12:33:32Z</dcterms:created>
  <dcterms:modified xsi:type="dcterms:W3CDTF">2026-07-13T12:33:32Z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2872</vt:lpwstr>
  </property>
  <property fmtid="{D5CDD505-2E9C-101B-9397-08002B2CF9AE}" pid="98" name="zerocitations">
    <vt:lpwstr>True</vt:lpwstr>
  </property>
</Properties>
</file>