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Objetos Equation y Table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Objetos Equation y Table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ESTIM ECUACIONES EVIEWS</dc:description>
  <dc:language>es</dc:language>
  <cp:keywords>keyword1, keyword2</cp:keywords>
  <dcterms:created xsi:type="dcterms:W3CDTF">2026-07-13T13:34:01Z</dcterms:created>
  <dcterms:modified xsi:type="dcterms:W3CDTF">2026-07-13T13:34:01Z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2021-09-13</vt:lpwstr>
  </property>
  <property fmtid="{D5CDD505-2E9C-101B-9397-08002B2CF9AE}" pid="8" name="apatitle">
    <vt:lpwstr>Objetos Equation y Table en EViews</vt:lpwstr>
  </property>
  <property fmtid="{D5CDD505-2E9C-101B-9397-08002B2CF9AE}" pid="9" name="apatitledisplay">
    <vt:lpwstr>Objetos Equation y Table en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ESTIM ECUACIONES EVIEWS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89</vt:lpwstr>
  </property>
  <property fmtid="{D5CDD505-2E9C-101B-9397-08002B2CF9AE}" pid="99" name="zerocitations">
    <vt:lpwstr>True</vt:lpwstr>
  </property>
</Properties>
</file>