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DAX: columnas y medidas calculadas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DAX: columnas y medidas calculadas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DAX</dc:description>
  <dc:language>es</dc:language>
  <cp:keywords>keyword1, keyword2</cp:keywords>
  <dcterms:created xsi:type="dcterms:W3CDTF">2026-07-13T13:33:17Z</dcterms:created>
  <dcterms:modified xsi:type="dcterms:W3CDTF">2026-07-13T13:33:17Z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2022-10-17</vt:lpwstr>
  </property>
  <property fmtid="{D5CDD505-2E9C-101B-9397-08002B2CF9AE}" pid="8" name="apasubtitle">
    <vt:lpwstr>columnas y medidas calculadas</vt:lpwstr>
  </property>
  <property fmtid="{D5CDD505-2E9C-101B-9397-08002B2CF9AE}" pid="9" name="apatitle">
    <vt:lpwstr>DAX</vt:lpwstr>
  </property>
  <property fmtid="{D5CDD505-2E9C-101B-9397-08002B2CF9AE}" pid="10" name="apatitledisplay">
    <vt:lpwstr>DAX: columnas y medidas calculadas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104</vt:lpwstr>
  </property>
  <property fmtid="{D5CDD505-2E9C-101B-9397-08002B2CF9AE}" pid="99" name="zerocitations">
    <vt:lpwstr>True</vt:lpwstr>
  </property>
</Properties>
</file>