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bookmarkEnd w:id="26"/>
    <w:bookmarkStart w:id="27" w:name="X6fca9483cc4a1410b903568fdeb6afa27960f74"/>
    <w:p>
      <w:pPr>
        <w:pStyle w:val="Heading1"/>
      </w:pPr>
      <w:r>
        <w:t xml:space="preserve">1. Tipografía para Proyectos Personales, Profesionales y Académicos</w:t>
      </w:r>
    </w:p>
    <w:p>
      <w:pPr>
        <w:pStyle w:val="FirstParagraph"/>
      </w:pPr>
      <w:r>
        <w:t xml:space="preserve">La elección de la tipografía en un proyecto gráfico es crucial para su éxito. Los diseñadores profesionales evitan fuentes problemáticas y optan por aquellas bien diseñadas que garantizan un resultado profesional. En este artículo, compartiré los mejores consejos tipográficos y mi selección de las tipografías esenciales.</w:t>
      </w:r>
    </w:p>
    <w:bookmarkEnd w:id="27"/>
    <w:bookmarkStart w:id="32" w:name="recursos-de-interés"/>
    <w:p>
      <w:pPr>
        <w:pStyle w:val="Heading1"/>
      </w:pPr>
      <w:r>
        <w:t xml:space="preserve">2. Recursos de Interés</w:t>
      </w:r>
    </w:p>
    <w:p>
      <w:pPr>
        <w:pStyle w:val="Compact"/>
        <w:numPr>
          <w:ilvl w:val="0"/>
          <w:numId w:val="1001"/>
        </w:numPr>
      </w:pPr>
      <w:r>
        <w:rPr>
          <w:b/>
          <w:bCs/>
        </w:rPr>
        <w:t xml:space="preserve">Combinación de Fuentes:</w:t>
      </w:r>
      <w:r>
        <w:t xml:space="preserve"> </w:t>
      </w:r>
      <w:hyperlink r:id="rId28">
        <w:r>
          <w:rPr>
            <w:rStyle w:val="Hyperlink"/>
          </w:rPr>
          <w:t xml:space="preserve">Font Pair</w:t>
        </w:r>
      </w:hyperlink>
    </w:p>
    <w:p>
      <w:pPr>
        <w:pStyle w:val="Compact"/>
        <w:numPr>
          <w:ilvl w:val="0"/>
          <w:numId w:val="1001"/>
        </w:numPr>
      </w:pPr>
      <w:r>
        <w:rPr>
          <w:b/>
          <w:bCs/>
        </w:rPr>
        <w:t xml:space="preserve">Tipografías Atipo:</w:t>
      </w:r>
      <w:r>
        <w:t xml:space="preserve"> </w:t>
      </w:r>
      <w:hyperlink r:id="rId29">
        <w:r>
          <w:rPr>
            <w:rStyle w:val="Hyperlink"/>
          </w:rPr>
          <w:t xml:space="preserve">Atipo Foundry</w:t>
        </w:r>
      </w:hyperlink>
    </w:p>
    <w:p>
      <w:pPr>
        <w:pStyle w:val="Compact"/>
        <w:numPr>
          <w:ilvl w:val="0"/>
          <w:numId w:val="1001"/>
        </w:numPr>
      </w:pPr>
      <w:r>
        <w:rPr>
          <w:b/>
          <w:bCs/>
        </w:rPr>
        <w:t xml:space="preserve">Google Fonts:</w:t>
      </w:r>
      <w:r>
        <w:t xml:space="preserve"> </w:t>
      </w:r>
      <w:hyperlink r:id="rId30">
        <w:r>
          <w:rPr>
            <w:rStyle w:val="Hyperlink"/>
          </w:rPr>
          <w:t xml:space="preserve">Google Fonts</w:t>
        </w:r>
      </w:hyperlink>
    </w:p>
    <w:p>
      <w:pPr>
        <w:pStyle w:val="Compact"/>
        <w:numPr>
          <w:ilvl w:val="0"/>
          <w:numId w:val="1001"/>
        </w:numPr>
      </w:pPr>
      <w:r>
        <w:rPr>
          <w:b/>
          <w:bCs/>
        </w:rPr>
        <w:t xml:space="preserve">Recursos Gratuitos:</w:t>
      </w:r>
      <w:r>
        <w:t xml:space="preserve"> </w:t>
      </w:r>
      <w:hyperlink r:id="rId31">
        <w:r>
          <w:rPr>
            <w:rStyle w:val="Hyperlink"/>
          </w:rPr>
          <w:t xml:space="preserve">Recursos Creativos</w:t>
        </w:r>
      </w:hyperlink>
    </w:p>
    <w:bookmarkEnd w:id="32"/>
    <w:bookmarkStart w:id="45" w:name="top-10-tipografías-clásicas-y-modernas"/>
    <w:p>
      <w:pPr>
        <w:pStyle w:val="Heading1"/>
      </w:pPr>
      <w:r>
        <w:t xml:space="preserve">3. Top 10 Tipografías Clásicas y Modernas</w:t>
      </w:r>
    </w:p>
    <w:p>
      <w:pPr>
        <w:pStyle w:val="Compact"/>
        <w:numPr>
          <w:ilvl w:val="0"/>
          <w:numId w:val="1002"/>
        </w:numPr>
      </w:pPr>
      <w:r>
        <w:rPr>
          <w:b/>
          <w:bCs/>
        </w:rPr>
        <w:t xml:space="preserve">Bodoni</w:t>
      </w:r>
      <w:r>
        <w:t xml:space="preserve"> </w:t>
      </w:r>
      <w:r>
        <w:t xml:space="preserve">– Giambattista Bodoni, 1767</w:t>
      </w:r>
      <w:r>
        <w:br/>
      </w:r>
    </w:p>
    <w:p>
      <w:pPr>
        <w:pStyle w:val="Compact"/>
        <w:numPr>
          <w:ilvl w:val="0"/>
          <w:numId w:val="1002"/>
        </w:numPr>
      </w:pPr>
      <w:r>
        <w:rPr>
          <w:b/>
          <w:bCs/>
        </w:rPr>
        <w:t xml:space="preserve">Futura</w:t>
      </w:r>
      <w:r>
        <w:t xml:space="preserve"> </w:t>
      </w:r>
      <w:r>
        <w:t xml:space="preserve">– Paul Renner, 1927</w:t>
      </w:r>
      <w:r>
        <w:br/>
      </w:r>
    </w:p>
    <w:p>
      <w:pPr>
        <w:pStyle w:val="Compact"/>
        <w:numPr>
          <w:ilvl w:val="0"/>
          <w:numId w:val="1002"/>
        </w:numPr>
      </w:pPr>
      <w:r>
        <w:rPr>
          <w:b/>
          <w:bCs/>
        </w:rPr>
        <w:t xml:space="preserve">Rockwell</w:t>
      </w:r>
      <w:r>
        <w:t xml:space="preserve"> </w:t>
      </w:r>
      <w:r>
        <w:t xml:space="preserve">– Frank Hinman Pierpont, 1934</w:t>
      </w:r>
      <w:r>
        <w:br/>
      </w:r>
    </w:p>
    <w:p>
      <w:pPr>
        <w:pStyle w:val="Compact"/>
        <w:numPr>
          <w:ilvl w:val="0"/>
          <w:numId w:val="1002"/>
        </w:numPr>
      </w:pPr>
      <w:r>
        <w:rPr>
          <w:b/>
          <w:bCs/>
        </w:rPr>
        <w:t xml:space="preserve">Helvetica</w:t>
      </w:r>
      <w:r>
        <w:t xml:space="preserve"> </w:t>
      </w:r>
      <w:r>
        <w:t xml:space="preserve">– Max Miedinger, 1957</w:t>
      </w:r>
      <w:r>
        <w:br/>
      </w:r>
    </w:p>
    <w:p>
      <w:pPr>
        <w:pStyle w:val="Compact"/>
        <w:numPr>
          <w:ilvl w:val="0"/>
          <w:numId w:val="1002"/>
        </w:numPr>
      </w:pPr>
      <w:r>
        <w:rPr>
          <w:b/>
          <w:bCs/>
        </w:rPr>
        <w:t xml:space="preserve">Frutiger</w:t>
      </w:r>
      <w:r>
        <w:t xml:space="preserve"> </w:t>
      </w:r>
      <w:r>
        <w:t xml:space="preserve">– Adrian Frutiger, 1968</w:t>
      </w:r>
      <w:r>
        <w:br/>
      </w:r>
    </w:p>
    <w:p>
      <w:pPr>
        <w:pStyle w:val="Compact"/>
        <w:numPr>
          <w:ilvl w:val="0"/>
          <w:numId w:val="1002"/>
        </w:numPr>
      </w:pPr>
      <w:r>
        <w:rPr>
          <w:b/>
          <w:bCs/>
        </w:rPr>
        <w:t xml:space="preserve">Swift</w:t>
      </w:r>
      <w:r>
        <w:t xml:space="preserve"> </w:t>
      </w:r>
      <w:r>
        <w:t xml:space="preserve">– Gerard Unger, 1989</w:t>
      </w:r>
      <w:r>
        <w:br/>
      </w:r>
    </w:p>
    <w:p>
      <w:pPr>
        <w:pStyle w:val="Compact"/>
        <w:numPr>
          <w:ilvl w:val="0"/>
          <w:numId w:val="1002"/>
        </w:numPr>
      </w:pPr>
      <w:r>
        <w:rPr>
          <w:b/>
          <w:bCs/>
        </w:rPr>
        <w:t xml:space="preserve">Gotham</w:t>
      </w:r>
      <w:r>
        <w:t xml:space="preserve"> </w:t>
      </w:r>
      <w:r>
        <w:t xml:space="preserve">– Tobias Frere-Jones, 2000</w:t>
      </w:r>
      <w:r>
        <w:br/>
      </w:r>
    </w:p>
    <w:p>
      <w:pPr>
        <w:pStyle w:val="Compact"/>
        <w:numPr>
          <w:ilvl w:val="0"/>
          <w:numId w:val="1002"/>
        </w:numPr>
      </w:pPr>
      <w:r>
        <w:rPr>
          <w:b/>
          <w:bCs/>
        </w:rPr>
        <w:t xml:space="preserve">FF DIN</w:t>
      </w:r>
      <w:r>
        <w:t xml:space="preserve"> </w:t>
      </w:r>
      <w:r>
        <w:t xml:space="preserve">– Albert-Jan Pol, 2000</w:t>
      </w:r>
      <w:r>
        <w:br/>
      </w:r>
    </w:p>
    <w:p>
      <w:pPr>
        <w:pStyle w:val="Compact"/>
        <w:numPr>
          <w:ilvl w:val="0"/>
          <w:numId w:val="1002"/>
        </w:numPr>
      </w:pPr>
      <w:r>
        <w:rPr>
          <w:b/>
          <w:bCs/>
        </w:rPr>
        <w:t xml:space="preserve">Geomanist</w:t>
      </w:r>
      <w:r>
        <w:t xml:space="preserve"> </w:t>
      </w:r>
      <w:r>
        <w:t xml:space="preserve">– Atipo Foundry, 2015</w:t>
      </w:r>
    </w:p>
    <w:p>
      <w:pPr>
        <w:pStyle w:val="Compact"/>
        <w:numPr>
          <w:ilvl w:val="0"/>
          <w:numId w:val="1002"/>
        </w:numPr>
      </w:pPr>
      <w:r>
        <w:rPr>
          <w:b/>
          <w:bCs/>
        </w:rPr>
        <w:t xml:space="preserve">IBM Plex</w:t>
      </w:r>
      <w:r>
        <w:t xml:space="preserve"> </w:t>
      </w:r>
      <w:r>
        <w:t xml:space="preserve">– Mike Abbink, 2018</w:t>
      </w:r>
    </w:p>
    <w:bookmarkStart w:id="44" w:name="tipografías-gratuitas"/>
    <w:p>
      <w:pPr>
        <w:pStyle w:val="Heading2"/>
      </w:pPr>
      <w:r>
        <w:t xml:space="preserve">3.1 Tipografías Gratuitas</w:t>
      </w:r>
    </w:p>
    <w:p>
      <w:pPr>
        <w:pStyle w:val="FirstParagraph"/>
      </w:pPr>
      <w:r>
        <w:t xml:space="preserve">Estas fuentes pueden personalizarse para darle un toque único a tu diseño, pero recuerda que no está permitido revenderlas.</w:t>
      </w:r>
    </w:p>
    <w:p>
      <w:pPr>
        <w:pStyle w:val="Compact"/>
        <w:numPr>
          <w:ilvl w:val="0"/>
          <w:numId w:val="1003"/>
        </w:numPr>
      </w:pPr>
      <w:r>
        <w:rPr>
          <w:b/>
          <w:bCs/>
        </w:rPr>
        <w:t xml:space="preserve">Montserrat</w:t>
      </w:r>
      <w:r>
        <w:t xml:space="preserve"> </w:t>
      </w:r>
      <w:r>
        <w:t xml:space="preserve">–</w:t>
      </w:r>
      <w:r>
        <w:t xml:space="preserve"> </w:t>
      </w:r>
      <w:hyperlink r:id="rId33">
        <w:r>
          <w:rPr>
            <w:rStyle w:val="Hyperlink"/>
          </w:rPr>
          <w:t xml:space="preserve">Google Fonts</w:t>
        </w:r>
      </w:hyperlink>
      <w:r>
        <w:br/>
      </w:r>
    </w:p>
    <w:p>
      <w:pPr>
        <w:pStyle w:val="Compact"/>
        <w:numPr>
          <w:ilvl w:val="0"/>
          <w:numId w:val="1003"/>
        </w:numPr>
      </w:pPr>
      <w:r>
        <w:rPr>
          <w:b/>
          <w:bCs/>
        </w:rPr>
        <w:t xml:space="preserve">Rubik</w:t>
      </w:r>
      <w:r>
        <w:t xml:space="preserve"> </w:t>
      </w:r>
      <w:r>
        <w:t xml:space="preserve">–</w:t>
      </w:r>
      <w:r>
        <w:t xml:space="preserve"> </w:t>
      </w:r>
      <w:hyperlink r:id="rId34">
        <w:r>
          <w:rPr>
            <w:rStyle w:val="Hyperlink"/>
          </w:rPr>
          <w:t xml:space="preserve">Google Fonts</w:t>
        </w:r>
      </w:hyperlink>
      <w:r>
        <w:br/>
      </w:r>
    </w:p>
    <w:p>
      <w:pPr>
        <w:pStyle w:val="Compact"/>
        <w:numPr>
          <w:ilvl w:val="0"/>
          <w:numId w:val="1003"/>
        </w:numPr>
      </w:pPr>
      <w:r>
        <w:rPr>
          <w:b/>
          <w:bCs/>
        </w:rPr>
        <w:t xml:space="preserve">Emberly</w:t>
      </w:r>
      <w:r>
        <w:t xml:space="preserve"> </w:t>
      </w:r>
      <w:r>
        <w:t xml:space="preserve">–</w:t>
      </w:r>
      <w:r>
        <w:t xml:space="preserve"> </w:t>
      </w:r>
      <w:hyperlink r:id="rId35">
        <w:r>
          <w:rPr>
            <w:rStyle w:val="Hyperlink"/>
          </w:rPr>
          <w:t xml:space="preserve">Emberly</w:t>
        </w:r>
      </w:hyperlink>
      <w:r>
        <w:br/>
      </w:r>
    </w:p>
    <w:p>
      <w:pPr>
        <w:pStyle w:val="Compact"/>
        <w:numPr>
          <w:ilvl w:val="0"/>
          <w:numId w:val="1003"/>
        </w:numPr>
      </w:pPr>
      <w:r>
        <w:rPr>
          <w:b/>
          <w:bCs/>
        </w:rPr>
        <w:t xml:space="preserve">Morganite</w:t>
      </w:r>
      <w:r>
        <w:t xml:space="preserve"> </w:t>
      </w:r>
      <w:r>
        <w:t xml:space="preserve">–</w:t>
      </w:r>
      <w:r>
        <w:t xml:space="preserve"> </w:t>
      </w:r>
      <w:hyperlink r:id="rId36">
        <w:r>
          <w:rPr>
            <w:rStyle w:val="Hyperlink"/>
          </w:rPr>
          <w:t xml:space="preserve">Morganite</w:t>
        </w:r>
      </w:hyperlink>
      <w:r>
        <w:br/>
      </w:r>
    </w:p>
    <w:p>
      <w:pPr>
        <w:pStyle w:val="Compact"/>
        <w:numPr>
          <w:ilvl w:val="0"/>
          <w:numId w:val="1003"/>
        </w:numPr>
      </w:pPr>
      <w:r>
        <w:rPr>
          <w:b/>
          <w:bCs/>
        </w:rPr>
        <w:t xml:space="preserve">Aileron</w:t>
      </w:r>
      <w:r>
        <w:t xml:space="preserve"> </w:t>
      </w:r>
      <w:r>
        <w:t xml:space="preserve">–</w:t>
      </w:r>
      <w:r>
        <w:t xml:space="preserve"> </w:t>
      </w:r>
      <w:hyperlink r:id="rId37">
        <w:r>
          <w:rPr>
            <w:rStyle w:val="Hyperlink"/>
          </w:rPr>
          <w:t xml:space="preserve">Aileron</w:t>
        </w:r>
      </w:hyperlink>
      <w:r>
        <w:br/>
      </w:r>
    </w:p>
    <w:p>
      <w:pPr>
        <w:pStyle w:val="Compact"/>
        <w:numPr>
          <w:ilvl w:val="0"/>
          <w:numId w:val="1003"/>
        </w:numPr>
      </w:pPr>
      <w:r>
        <w:rPr>
          <w:b/>
          <w:bCs/>
        </w:rPr>
        <w:t xml:space="preserve">Space Mono</w:t>
      </w:r>
      <w:r>
        <w:t xml:space="preserve"> </w:t>
      </w:r>
      <w:r>
        <w:t xml:space="preserve">–</w:t>
      </w:r>
      <w:r>
        <w:t xml:space="preserve"> </w:t>
      </w:r>
      <w:hyperlink r:id="rId38">
        <w:r>
          <w:rPr>
            <w:rStyle w:val="Hyperlink"/>
          </w:rPr>
          <w:t xml:space="preserve">Google Fonts</w:t>
        </w:r>
      </w:hyperlink>
      <w:r>
        <w:br/>
      </w:r>
    </w:p>
    <w:p>
      <w:pPr>
        <w:pStyle w:val="Compact"/>
        <w:numPr>
          <w:ilvl w:val="0"/>
          <w:numId w:val="1003"/>
        </w:numPr>
      </w:pPr>
      <w:r>
        <w:rPr>
          <w:b/>
          <w:bCs/>
        </w:rPr>
        <w:t xml:space="preserve">Botera</w:t>
      </w:r>
      <w:r>
        <w:t xml:space="preserve"> </w:t>
      </w:r>
      <w:r>
        <w:t xml:space="preserve">–</w:t>
      </w:r>
      <w:r>
        <w:t xml:space="preserve"> </w:t>
      </w:r>
      <w:hyperlink r:id="rId39">
        <w:r>
          <w:rPr>
            <w:rStyle w:val="Hyperlink"/>
          </w:rPr>
          <w:t xml:space="preserve">Botera</w:t>
        </w:r>
      </w:hyperlink>
      <w:r>
        <w:br/>
      </w:r>
    </w:p>
    <w:p>
      <w:pPr>
        <w:pStyle w:val="Compact"/>
        <w:numPr>
          <w:ilvl w:val="0"/>
          <w:numId w:val="1003"/>
        </w:numPr>
      </w:pPr>
      <w:r>
        <w:rPr>
          <w:b/>
          <w:bCs/>
        </w:rPr>
        <w:t xml:space="preserve">Poppins</w:t>
      </w:r>
      <w:r>
        <w:t xml:space="preserve"> </w:t>
      </w:r>
      <w:r>
        <w:t xml:space="preserve">–</w:t>
      </w:r>
      <w:r>
        <w:t xml:space="preserve"> </w:t>
      </w:r>
      <w:hyperlink r:id="rId40">
        <w:r>
          <w:rPr>
            <w:rStyle w:val="Hyperlink"/>
          </w:rPr>
          <w:t xml:space="preserve">Google Fonts</w:t>
        </w:r>
      </w:hyperlink>
      <w:r>
        <w:br/>
      </w:r>
    </w:p>
    <w:p>
      <w:pPr>
        <w:pStyle w:val="Compact"/>
        <w:numPr>
          <w:ilvl w:val="0"/>
          <w:numId w:val="1003"/>
        </w:numPr>
      </w:pPr>
      <w:r>
        <w:rPr>
          <w:b/>
          <w:bCs/>
        </w:rPr>
        <w:t xml:space="preserve">Nunito</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Nunito Sans</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Alegreya</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Alegreya Sans</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IBM Plex</w:t>
      </w:r>
      <w:r>
        <w:t xml:space="preserve"> </w:t>
      </w:r>
      <w:r>
        <w:t xml:space="preserve">–</w:t>
      </w:r>
      <w:r>
        <w:t xml:space="preserve"> </w:t>
      </w:r>
      <w:hyperlink r:id="rId43">
        <w:r>
          <w:rPr>
            <w:rStyle w:val="Hyperlink"/>
          </w:rPr>
          <w:t xml:space="preserve">IBM Plex</w:t>
        </w:r>
      </w:hyperlink>
    </w:p>
    <w:bookmarkEnd w:id="44"/>
    <w:bookmarkEnd w:id="45"/>
    <w:bookmarkStart w:id="52" w:name="X390fe5b11c99e6a9a9cccb224ba177762e9805f"/>
    <w:p>
      <w:pPr>
        <w:pStyle w:val="Heading1"/>
      </w:pPr>
      <w:r>
        <w:t xml:space="preserve">4. Tipografías Específicas para Programación</w:t>
      </w:r>
    </w:p>
    <w:p>
      <w:pPr>
        <w:pStyle w:val="FirstParagraph"/>
      </w:pPr>
      <w:r>
        <w:t xml:space="preserve">El mundo de la programación ha crecido rápidamente, introduciendo nuevos lenguajes y tecnologías. Sin embargo, algunos aspectos han permanecido estables, como el uso de</w:t>
      </w:r>
      <w:r>
        <w:t xml:space="preserve"> </w:t>
      </w:r>
      <w:r>
        <w:rPr>
          <w:b/>
          <w:bCs/>
        </w:rPr>
        <w:t xml:space="preserve">tipografías monoespaciadas</w:t>
      </w:r>
      <w:r>
        <w:t xml:space="preserve">, esenciales para una correcta visualización del código.</w:t>
      </w:r>
    </w:p>
    <w:bookmarkStart w:id="46" w:name="X7776450a2e4d06caa1d5ce77eda23d1e5d6479a"/>
    <w:p>
      <w:pPr>
        <w:pStyle w:val="Heading2"/>
      </w:pPr>
      <w:r>
        <w:t xml:space="preserve">4.1 Características Claves de la Tipografía en Programación</w:t>
      </w:r>
    </w:p>
    <w:p>
      <w:pPr>
        <w:pStyle w:val="Compact"/>
        <w:numPr>
          <w:ilvl w:val="0"/>
          <w:numId w:val="1004"/>
        </w:numPr>
      </w:pPr>
      <w:r>
        <w:rPr>
          <w:b/>
          <w:bCs/>
        </w:rPr>
        <w:t xml:space="preserve">Uso Intensivo de Símbolos:</w:t>
      </w:r>
      <w:r>
        <w:t xml:space="preserve"> </w:t>
      </w:r>
      <w:r>
        <w:t xml:space="preserve">Claves en la sintaxis de muchos lenguajes (e.g.,</w:t>
      </w:r>
      <w:r>
        <w:t xml:space="preserve"> </w:t>
      </w:r>
      <w:r>
        <w:rPr>
          <w:rStyle w:val="VerbatimChar"/>
        </w:rPr>
        <w:t xml:space="preserve">#</w:t>
      </w:r>
      <w:r>
        <w:t xml:space="preserve"> </w:t>
      </w:r>
      <w:r>
        <w:t xml:space="preserve">en Markdown,</w:t>
      </w:r>
      <w:r>
        <w:t xml:space="preserve"> </w:t>
      </w:r>
      <w:r>
        <w:rPr>
          <w:rStyle w:val="VerbatimChar"/>
        </w:rPr>
        <w:t xml:space="preserve">&lt;=</w:t>
      </w:r>
      <w:r>
        <w:t xml:space="preserve"> </w:t>
      </w:r>
      <w:r>
        <w:t xml:space="preserve">en comparaciones).</w:t>
      </w:r>
      <w:r>
        <w:br/>
      </w:r>
    </w:p>
    <w:p>
      <w:pPr>
        <w:pStyle w:val="Compact"/>
        <w:numPr>
          <w:ilvl w:val="0"/>
          <w:numId w:val="1004"/>
        </w:numPr>
      </w:pPr>
      <w:r>
        <w:rPr>
          <w:b/>
          <w:bCs/>
        </w:rPr>
        <w:t xml:space="preserve">Frecuencia de Números:</w:t>
      </w:r>
      <w:r>
        <w:t xml:space="preserve"> </w:t>
      </w:r>
      <w:r>
        <w:t xml:space="preserve">Se usan más que en textos convencionales.</w:t>
      </w:r>
      <w:r>
        <w:br/>
      </w:r>
    </w:p>
    <w:p>
      <w:pPr>
        <w:pStyle w:val="Compact"/>
        <w:numPr>
          <w:ilvl w:val="0"/>
          <w:numId w:val="1004"/>
        </w:numPr>
      </w:pPr>
      <w:r>
        <w:rPr>
          <w:b/>
          <w:bCs/>
        </w:rPr>
        <w:t xml:space="preserve">Indentación y Legibilidad:</w:t>
      </w:r>
      <w:r>
        <w:t xml:space="preserve"> </w:t>
      </w:r>
      <w:r>
        <w:t xml:space="preserve">Fundamental para una buena estructura del código.</w:t>
      </w:r>
    </w:p>
    <w:bookmarkEnd w:id="46"/>
    <w:bookmarkStart w:id="47" w:name="otf-vs-ttf-cuál-elegir"/>
    <w:p>
      <w:pPr>
        <w:pStyle w:val="Heading2"/>
      </w:pPr>
      <w:r>
        <w:t xml:space="preserve">4.2 OTF vs TTF: ¿Cuál elegir?</w:t>
      </w:r>
    </w:p>
    <w:p>
      <w:pPr>
        <w:pStyle w:val="FirstParagraph"/>
      </w:pPr>
      <w:r>
        <w:t xml:space="preserve">Los formatos más comunes de tipografías son:</w:t>
      </w:r>
    </w:p>
    <w:p>
      <w:pPr>
        <w:pStyle w:val="Compact"/>
        <w:numPr>
          <w:ilvl w:val="0"/>
          <w:numId w:val="1005"/>
        </w:numPr>
      </w:pPr>
      <w:r>
        <w:rPr>
          <w:b/>
          <w:bCs/>
        </w:rPr>
        <w:t xml:space="preserve">OTF (Open Type Format):</w:t>
      </w:r>
      <w:r>
        <w:t xml:space="preserve"> </w:t>
      </w:r>
      <w:r>
        <w:t xml:space="preserve">Permite características avanzadas como ligaduras, ideales para programación.</w:t>
      </w:r>
      <w:r>
        <w:br/>
      </w:r>
    </w:p>
    <w:p>
      <w:pPr>
        <w:pStyle w:val="Compact"/>
        <w:numPr>
          <w:ilvl w:val="0"/>
          <w:numId w:val="1005"/>
        </w:numPr>
      </w:pPr>
      <w:r>
        <w:rPr>
          <w:b/>
          <w:bCs/>
        </w:rPr>
        <w:t xml:space="preserve">TTF (True Type Format):</w:t>
      </w:r>
      <w:r>
        <w:t xml:space="preserve"> </w:t>
      </w:r>
      <w:r>
        <w:t xml:space="preserve">Más compatible, pero con menos funciones avanzadas.</w:t>
      </w:r>
    </w:p>
    <w:p>
      <w:pPr>
        <w:pStyle w:val="FirstParagraph"/>
      </w:pPr>
      <w:r>
        <w:t xml:space="preserve">Para programar, lo ideal es elegir una fuente en</w:t>
      </w:r>
      <w:r>
        <w:t xml:space="preserve"> </w:t>
      </w:r>
      <w:r>
        <w:rPr>
          <w:b/>
          <w:bCs/>
        </w:rPr>
        <w:t xml:space="preserve">OTF</w:t>
      </w:r>
      <w:r>
        <w:t xml:space="preserve"> </w:t>
      </w:r>
      <w:r>
        <w:t xml:space="preserve">con</w:t>
      </w:r>
      <w:r>
        <w:t xml:space="preserve"> </w:t>
      </w:r>
      <w:r>
        <w:rPr>
          <w:b/>
          <w:bCs/>
        </w:rPr>
        <w:t xml:space="preserve">ligaduras</w:t>
      </w:r>
      <w:r>
        <w:t xml:space="preserve">, lo que mejora la visualización de los símbolos.</w:t>
      </w:r>
    </w:p>
    <w:bookmarkEnd w:id="47"/>
    <w:bookmarkStart w:id="51" w:name="X2ea565736d27f3b3d56824ac59531c1587d3f3f"/>
    <w:p>
      <w:pPr>
        <w:pStyle w:val="Heading2"/>
      </w:pPr>
      <w:r>
        <w:t xml:space="preserve">4.3 Las Mejores Tipografías para Programadores</w:t>
      </w:r>
    </w:p>
    <w:p>
      <w:pPr>
        <w:numPr>
          <w:ilvl w:val="0"/>
          <w:numId w:val="1006"/>
        </w:numPr>
      </w:pPr>
      <w:hyperlink r:id="rId48">
        <w:r>
          <w:rPr>
            <w:rStyle w:val="Hyperlink"/>
          </w:rPr>
          <w:t xml:space="preserve">Fira Code</w:t>
        </w:r>
      </w:hyperlink>
      <w:r>
        <w:t xml:space="preserve"> </w:t>
      </w:r>
      <w:r>
        <w:t xml:space="preserve">Diseñada específicamente para programadores mejora la legibilidad con ligaduras avanzadas.</w:t>
      </w:r>
    </w:p>
    <w:p>
      <w:pPr>
        <w:numPr>
          <w:ilvl w:val="0"/>
          <w:numId w:val="1006"/>
        </w:numPr>
      </w:pPr>
      <w:hyperlink r:id="rId49">
        <w:r>
          <w:rPr>
            <w:rStyle w:val="Hyperlink"/>
          </w:rPr>
          <w:t xml:space="preserve">Monoid</w:t>
        </w:r>
      </w:hyperlink>
      <w:r>
        <w:t xml:space="preserve"> </w:t>
      </w:r>
      <w:r>
        <w:t xml:space="preserve">permite la integración con iconos de</w:t>
      </w:r>
      <w:r>
        <w:t xml:space="preserve"> </w:t>
      </w:r>
      <w:r>
        <w:rPr>
          <w:b/>
          <w:bCs/>
        </w:rPr>
        <w:t xml:space="preserve">Font Awesome</w:t>
      </w:r>
      <w:r>
        <w:t xml:space="preserve">, ideal para desarrolladores que trabajan con interfaces gráficas.</w:t>
      </w:r>
    </w:p>
    <w:p>
      <w:pPr>
        <w:numPr>
          <w:ilvl w:val="0"/>
          <w:numId w:val="1006"/>
        </w:numPr>
      </w:pPr>
      <w:hyperlink r:id="rId50">
        <w:r>
          <w:rPr>
            <w:rStyle w:val="Hyperlink"/>
          </w:rPr>
          <w:t xml:space="preserve">Iosevka</w:t>
        </w:r>
      </w:hyperlink>
      <w:r>
        <w:t xml:space="preserve"> </w:t>
      </w:r>
      <w:r>
        <w:t xml:space="preserve">es altamente personalizable, adaptándose a las preferencias del usuario para maximizar la comodidad visual.</w:t>
      </w:r>
    </w:p>
    <w:bookmarkEnd w:id="51"/>
    <w:bookmarkEnd w:id="52"/>
    <w:bookmarkStart w:id="53" w:name="conclusión"/>
    <w:p>
      <w:pPr>
        <w:pStyle w:val="Heading1"/>
      </w:pPr>
      <w:r>
        <w:t xml:space="preserve">5. Conclusión</w:t>
      </w:r>
    </w:p>
    <w:p>
      <w:pPr>
        <w:pStyle w:val="FirstParagraph"/>
      </w:pPr>
      <w:r>
        <w:t xml:space="preserve">La tipografía no es solo una cuestión estética, sino una herramienta clave para mejorar la comunicación visual y la productividad, ya sea en diseño gráfico, redacción académica o programación. Elegir la fuente adecuada marcará la diferencia en la legibilidad y profesionalismo de cualquier proyecto.</w:t>
      </w:r>
    </w:p>
    <w:bookmarkEnd w:id="53"/>
    <w:bookmarkStart w:id="66" w:name="publicaciones-similares"/>
    <w:p>
      <w:pPr>
        <w:pStyle w:val="Heading1"/>
      </w:pPr>
      <w:r>
        <w:t xml:space="preserve">6.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4"/>
      <w:r>
        <w:t xml:space="preserve"> </w:t>
      </w:r>
      <w:hyperlink r:id="rId55">
        <w:r>
          <w:rPr>
            <w:rStyle w:val="Hyperlink"/>
          </w:rPr>
          <w:t xml:space="preserve">Typografia</w:t>
        </w:r>
      </w:hyperlink>
    </w:p>
    <w:p>
      <w:pPr>
        <w:pStyle w:val="Compact"/>
        <w:numPr>
          <w:ilvl w:val="0"/>
          <w:numId w:val="1007"/>
        </w:numPr>
      </w:pPr>
      <w:hyperlink r:id="rId56"/>
      <w:r>
        <w:t xml:space="preserve"> </w:t>
      </w:r>
      <w:hyperlink r:id="rId57">
        <w:r>
          <w:rPr>
            <w:rStyle w:val="Hyperlink"/>
          </w:rPr>
          <w:t xml:space="preserve">Organizando Tipos De Archivos De Softwares</w:t>
        </w:r>
      </w:hyperlink>
    </w:p>
    <w:p>
      <w:pPr>
        <w:pStyle w:val="Compact"/>
        <w:numPr>
          <w:ilvl w:val="0"/>
          <w:numId w:val="1007"/>
        </w:numPr>
      </w:pPr>
      <w:hyperlink r:id="rId58"/>
      <w:r>
        <w:t xml:space="preserve"> </w:t>
      </w:r>
      <w:hyperlink r:id="rId59">
        <w:r>
          <w:rPr>
            <w:rStyle w:val="Hyperlink"/>
          </w:rPr>
          <w:t xml:space="preserve">01 Pensamiento Logico</w:t>
        </w:r>
      </w:hyperlink>
    </w:p>
    <w:p>
      <w:pPr>
        <w:pStyle w:val="Compact"/>
        <w:numPr>
          <w:ilvl w:val="0"/>
          <w:numId w:val="1007"/>
        </w:numPr>
      </w:pPr>
      <w:hyperlink r:id="rId60"/>
      <w:r>
        <w:t xml:space="preserve"> </w:t>
      </w:r>
      <w:hyperlink r:id="rId61">
        <w:r>
          <w:rPr>
            <w:rStyle w:val="Hyperlink"/>
          </w:rPr>
          <w:t xml:space="preserve">02 Introduccion A Los Algoritmos</w:t>
        </w:r>
      </w:hyperlink>
    </w:p>
    <w:p>
      <w:pPr>
        <w:pStyle w:val="Compact"/>
        <w:numPr>
          <w:ilvl w:val="0"/>
          <w:numId w:val="1007"/>
        </w:numPr>
      </w:pPr>
      <w:hyperlink r:id="rId62"/>
      <w:r>
        <w:t xml:space="preserve"> </w:t>
      </w:r>
      <w:hyperlink r:id="rId63">
        <w:r>
          <w:rPr>
            <w:rStyle w:val="Hyperlink"/>
          </w:rPr>
          <w:t xml:space="preserve">03 Programacion Basica En Html</w:t>
        </w:r>
      </w:hyperlink>
    </w:p>
    <w:p>
      <w:pPr>
        <w:pStyle w:val="Compact"/>
        <w:numPr>
          <w:ilvl w:val="0"/>
          <w:numId w:val="1007"/>
        </w:numPr>
      </w:pPr>
      <w:hyperlink r:id="rId64"/>
      <w:r>
        <w:t xml:space="preserve"> </w:t>
      </w:r>
      <w:hyperlink r:id="rId65">
        <w:r>
          <w:rPr>
            <w:rStyle w:val="Hyperlink"/>
          </w:rPr>
          <w:t xml:space="preserve">Por Editar</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2025-07-29T19:22:10Z</dcterms:created>
  <dcterms:modified xsi:type="dcterms:W3CDTF">2025-07-29T19:22:10Z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2018</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TIPOGRAFÍA EN ACADEMIA Y PROGRAMACIÓN</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497</vt:lpwstr>
  </property>
  <property fmtid="{D5CDD505-2E9C-101B-9397-08002B2CF9AE}" pid="93" name="zerocitations">
    <vt:lpwstr>True</vt:lpwstr>
  </property>
</Properties>
</file>