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Equilibrio parcial competitivo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Equilibrio parcial competitivo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EQUILIBRIO PARCIAL COMPETITIVO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2021-07-19</vt:lpwstr>
  </property>
  <property fmtid="{D5CDD505-2E9C-101B-9397-08002B2CF9AE}" pid="8" name="apatitle">
    <vt:lpwstr>EQUILIBRIO PARCIAL COMPETITIVO</vt:lpwstr>
  </property>
  <property fmtid="{D5CDD505-2E9C-101B-9397-08002B2CF9AE}" pid="9" name="apatitledisplay">
    <vt:lpwstr>Equilibrio parcial competitivo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95</vt:lpwstr>
  </property>
  <property fmtid="{D5CDD505-2E9C-101B-9397-08002B2CF9AE}" pid="101" name="zerocitations">
    <vt:lpwstr>True</vt:lpwstr>
  </property>
</Properties>
</file>