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consumidor microeconómica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del consumidor microeconómica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CONSUMIDOR MICROECONÓMICA</dc:description>
  <dc:language>es</dc:language>
  <cp:keywords>keyword1, keyword2</cp:keywords>
  <dcterms:created xsi:type="dcterms:W3CDTF">2026-07-13T12:41:31Z</dcterms:created>
  <dcterms:modified xsi:type="dcterms:W3CDTF">2026-07-13T12:41:31Z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2021-06-28</vt:lpwstr>
  </property>
  <property fmtid="{D5CDD505-2E9C-101B-9397-08002B2CF9AE}" pid="8" name="apatitle">
    <vt:lpwstr>TEORÍA DEL CONSUMIDOR MICROECONÓMICA</vt:lpwstr>
  </property>
  <property fmtid="{D5CDD505-2E9C-101B-9397-08002B2CF9AE}" pid="9" name="apatitledisplay">
    <vt:lpwstr>Teoría del consumidor microeconómica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