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Equilibrio parcial competitivo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Equilibrio parcial competitivo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EQUILIBRIO PARCIAL COMPETITIVO</dc:description>
  <dc:language>es</dc:language>
  <cp:keywords>keyword1, keyword2</cp:keywords>
  <dcterms:created xsi:type="dcterms:W3CDTF">2026-07-13T12:41:04Z</dcterms:created>
  <dcterms:modified xsi:type="dcterms:W3CDTF">2026-07-13T12:41:04Z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2021-07-19</vt:lpwstr>
  </property>
  <property fmtid="{D5CDD505-2E9C-101B-9397-08002B2CF9AE}" pid="8" name="apatitle">
    <vt:lpwstr>EQUILIBRIO PARCIAL COMPETITIVO</vt:lpwstr>
  </property>
  <property fmtid="{D5CDD505-2E9C-101B-9397-08002B2CF9AE}" pid="9" name="apatitledisplay">
    <vt:lpwstr>Equilibrio parcial competitivo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95</vt:lpwstr>
  </property>
  <property fmtid="{D5CDD505-2E9C-101B-9397-08002B2CF9AE}" pid="98" name="zerocitations">
    <vt:lpwstr>True</vt:lpwstr>
  </property>
</Properties>
</file>