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Fallas de mercado y externalidades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Fallas de mercado y externalidades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FALLAS DE MERCADO Y EXTERNALIDADES</dc:description>
  <dc:language>es</dc:language>
  <cp:keywords>keyword1, keyword2</cp:keywords>
  <dcterms:created xsi:type="dcterms:W3CDTF">2026-07-13T12:41:24Z</dcterms:created>
  <dcterms:modified xsi:type="dcterms:W3CDTF">2026-07-13T12:41:24Z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2021-08-09</vt:lpwstr>
  </property>
  <property fmtid="{D5CDD505-2E9C-101B-9397-08002B2CF9AE}" pid="8" name="apatitle">
    <vt:lpwstr>FALLAS DE MERCADO Y EXTERNALIDADES</vt:lpwstr>
  </property>
  <property fmtid="{D5CDD505-2E9C-101B-9397-08002B2CF9AE}" pid="9" name="apatitledisplay">
    <vt:lpwstr>Fallas de mercado y externalidades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95</vt:lpwstr>
  </property>
  <property fmtid="{D5CDD505-2E9C-101B-9397-08002B2CF9AE}" pid="98" name="zerocitations">
    <vt:lpwstr>True</vt:lpwstr>
  </property>
</Properties>
</file>