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Instrumentos de renta fija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Instrumentos de renta fija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RENTA FIJA</dc:description>
  <dc:language>es</dc:language>
  <cp:keywords>keyword1, keyword2</cp:keywords>
  <dcterms:created xsi:type="dcterms:W3CDTF">2026-07-13T12:45:14Z</dcterms:created>
  <dcterms:modified xsi:type="dcterms:W3CDTF">2026-07-13T12:45:14Z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2022-08-22</vt:lpwstr>
  </property>
  <property fmtid="{D5CDD505-2E9C-101B-9397-08002B2CF9AE}" pid="8" name="apatitle">
    <vt:lpwstr>Instrumentos de renta fija</vt:lpwstr>
  </property>
  <property fmtid="{D5CDD505-2E9C-101B-9397-08002B2CF9AE}" pid="9" name="apatitledisplay">
    <vt:lpwstr>Instrumentos de renta fija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RENTA FIJA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77</vt:lpwstr>
  </property>
  <property fmtid="{D5CDD505-2E9C-101B-9397-08002B2CF9AE}" pid="99" name="zerocitations">
    <vt:lpwstr>True</vt:lpwstr>
  </property>
</Properties>
</file>