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monetario internacional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 monetario internacional actual</w:t>
      </w:r>
    </w:p>
    <w:bookmarkEnd w:id="28"/>
    <w:bookmarkStart w:id="32"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9"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9"/>
    <w:bookmarkStart w:id="30"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30"/>
    <w:bookmarkStart w:id="31"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31"/>
    <w:bookmarkEnd w:id="32"/>
    <w:bookmarkStart w:id="35"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3" w:name="fig-1"/>
    <w:p>
      <w:pPr>
        <w:pStyle w:val="FigureTitle"/>
      </w:pPr>
      <w:r>
        <w:t xml:space="preserve">Figura 1</w:t>
      </w:r>
    </w:p>
    <w:p>
      <w:pPr>
        <w:pStyle w:val="Caption"/>
      </w:pPr>
      <w:r>
        <w:t xml:space="preserve">Regímenes cambiarios</w:t>
      </w:r>
    </w:p>
    <w:bookmarkEnd w:id="33"/>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4" w:name="fig-2"/>
    <w:p>
      <w:pPr>
        <w:pStyle w:val="FigureTitle"/>
      </w:pPr>
      <w:r>
        <w:t xml:space="preserve">Figura 2</w:t>
      </w:r>
    </w:p>
    <w:p>
      <w:pPr>
        <w:pStyle w:val="Caption"/>
      </w:pPr>
      <w:r>
        <w:t xml:space="preserve">Interrelaciones entre tipo de cambio, variables y políticas económicas</w:t>
      </w:r>
    </w:p>
    <w:bookmarkEnd w:id="34"/>
    <w:bookmarkEnd w:id="35"/>
    <w:bookmarkStart w:id="40"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6"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6"/>
    <w:bookmarkStart w:id="37"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7"/>
    <w:bookmarkStart w:id="38"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8"/>
    <w:bookmarkStart w:id="39"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9"/>
    <w:bookmarkEnd w:id="40"/>
    <w:bookmarkStart w:id="45" w:name="Xd9bfc237ff904d9e5d479bd1162c46fdd38fea4"/>
    <w:p>
      <w:pPr>
        <w:pStyle w:val="Heading1"/>
      </w:pPr>
      <w:r>
        <w:t xml:space="preserve">4. Historia del sistema monetario internacional</w:t>
      </w:r>
    </w:p>
    <w:bookmarkStart w:id="41"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41"/>
    <w:bookmarkStart w:id="42"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2"/>
    <w:bookmarkStart w:id="43"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3"/>
    <w:bookmarkStart w:id="44"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4"/>
    <w:bookmarkEnd w:id="45"/>
    <w:bookmarkStart w:id="46"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6"/>
    <w:bookmarkStart w:id="49"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7"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7"/>
    <w:bookmarkStart w:id="48"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8"/>
    <w:bookmarkEnd w:id="49"/>
    <w:bookmarkStart w:id="56"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50"/>
      <w:r>
        <w:t xml:space="preserve"> </w:t>
      </w:r>
      <w:hyperlink r:id="rId51">
        <w:r>
          <w:rPr>
            <w:rStyle w:val="Hyperlink"/>
          </w:rPr>
          <w:t xml:space="preserve">La Globalizacion</w:t>
        </w:r>
      </w:hyperlink>
    </w:p>
    <w:p>
      <w:pPr>
        <w:pStyle w:val="Compact"/>
        <w:numPr>
          <w:ilvl w:val="0"/>
          <w:numId w:val="1011"/>
        </w:numPr>
      </w:pPr>
      <w:hyperlink r:id="rId52"/>
      <w:r>
        <w:t xml:space="preserve"> </w:t>
      </w:r>
      <w:hyperlink r:id="rId53">
        <w:r>
          <w:rPr>
            <w:rStyle w:val="Hyperlink"/>
          </w:rPr>
          <w:t xml:space="preserve">Sistema Monetario Internacional</w:t>
        </w:r>
      </w:hyperlink>
    </w:p>
    <w:p>
      <w:pPr>
        <w:pStyle w:val="Compact"/>
        <w:numPr>
          <w:ilvl w:val="0"/>
          <w:numId w:val="1011"/>
        </w:numPr>
      </w:pPr>
      <w:hyperlink r:id="rId54"/>
      <w:r>
        <w:t xml:space="preserve"> </w:t>
      </w:r>
      <w:hyperlink r:id="rId55">
        <w:r>
          <w:rPr>
            <w:rStyle w:val="Hyperlink"/>
          </w:rPr>
          <w:t xml:space="preserve">Balanza Pagos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 MONETARIO INTERNACIONAL ACTUAL</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SISTEMA MONETARIO INTERNACIONAL ACTUAL</vt:lpwstr>
  </property>
  <property fmtid="{D5CDD505-2E9C-101B-9397-08002B2CF9AE}" pid="9" name="apatitledisplay">
    <vt:lpwstr>Sistema monetario internacional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5105</vt:lpwstr>
  </property>
  <property fmtid="{D5CDD505-2E9C-101B-9397-08002B2CF9AE}" pid="101" name="zerocitations">
    <vt:lpwstr>True</vt:lpwstr>
  </property>
</Properties>
</file>