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Finanzas corporativas fundamentales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Finanzas corporativas fundamentales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FINANZAS CORPORATIVAS</dc:description>
  <dc:language>es</dc:language>
  <cp:keywords>keyword1, keyword2</cp:keywords>
  <dcterms:created xsi:type="dcterms:W3CDTF">2025-12-22T13:26:46Z</dcterms:created>
  <dcterms:modified xsi:type="dcterms:W3CDTF">2025-12-22T13:26:46Z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2022-08-08</vt:lpwstr>
  </property>
  <property fmtid="{D5CDD505-2E9C-101B-9397-08002B2CF9AE}" pid="8" name="apatitle">
    <vt:lpwstr>Finanzas corporativas fundamentales</vt:lpwstr>
  </property>
  <property fmtid="{D5CDD505-2E9C-101B-9397-08002B2CF9AE}" pid="9" name="apatitledisplay">
    <vt:lpwstr>Finanzas corporativas fundamentales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FINANZAS CORPORATIVAS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77</vt:lpwstr>
  </property>
  <property fmtid="{D5CDD505-2E9C-101B-9397-08002B2CF9AE}" pid="95" name="zerocitations">
    <vt:lpwstr>True</vt:lpwstr>
  </property>
</Properties>
</file>