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Renta Fija: Características y Valoración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Renta Fija: Características y Valoración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FIJA</dc:description>
  <dc:language>es</dc:language>
  <cp:keywords>keyword1, keyword2</cp:keywords>
  <dcterms:created xsi:type="dcterms:W3CDTF">2025-07-17T09:57:47Z</dcterms:created>
  <dcterms:modified xsi:type="dcterms:W3CDTF">2025-07-17T09:57:47Z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subtitle">
    <vt:lpwstr>Características y Valoración</vt:lpwstr>
  </property>
  <property fmtid="{D5CDD505-2E9C-101B-9397-08002B2CF9AE}" pid="9" name="apatitle">
    <vt:lpwstr>Renta Fija</vt:lpwstr>
  </property>
  <property fmtid="{D5CDD505-2E9C-101B-9397-08002B2CF9AE}" pid="10" name="apatitledisplay">
    <vt:lpwstr>Renta Fija: Características y Valoración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RENTA FIJA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79</vt:lpwstr>
  </property>
  <property fmtid="{D5CDD505-2E9C-101B-9397-08002B2CF9AE}" pid="93" name="zerocitations">
    <vt:lpwstr>True</vt:lpwstr>
  </property>
</Properties>
</file>