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Finanzas corporativas fundamentales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Finanzas corporativas fundamentales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CORPORATIVAS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title">
    <vt:lpwstr>Finanzas corporativas fundamentales</vt:lpwstr>
  </property>
  <property fmtid="{D5CDD505-2E9C-101B-9397-08002B2CF9AE}" pid="9" name="apatitledisplay">
    <vt:lpwstr>Finanzas corporativas fundamentales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FINANZAS CORPORATIVAS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77</vt:lpwstr>
  </property>
  <property fmtid="{D5CDD505-2E9C-101B-9397-08002B2CF9AE}" pid="100" name="zerocitations">
    <vt:lpwstr>True</vt:lpwstr>
  </property>
</Properties>
</file>