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Tipos de mercados económicos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Tipos de mercados económicos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DINÁMICA MERCADOS</dc:description>
  <dc:language>es</dc:language>
  <cp:keywords/>
  <dcterms:created xsi:type="dcterms:W3CDTF">2026-10-08T06:10:38Z</dcterms:created>
  <dcterms:modified xsi:type="dcterms:W3CDTF">2026-10-08T06:10:38Z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2014-02-04</vt:lpwstr>
  </property>
  <property fmtid="{D5CDD505-2E9C-101B-9397-08002B2CF9AE}" pid="9" name="apatitle">
    <vt:lpwstr>Tipos de mercados económicos</vt:lpwstr>
  </property>
  <property fmtid="{D5CDD505-2E9C-101B-9397-08002B2CF9AE}" pid="10" name="apatitledisplay">
    <vt:lpwstr>Tipos de mercados económicos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rossref">
    <vt:lpwstr/>
  </property>
  <property fmtid="{D5CDD505-2E9C-101B-9397-08002B2CF9AE}" pid="27" name="csl">
    <vt:lpwstr>../../../../../_extensions/wjschne/apaquarto/apa.csl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../../../featured.jpg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DINÁMICA MERCADOS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113</vt:lpwstr>
  </property>
  <property fmtid="{D5CDD505-2E9C-101B-9397-08002B2CF9AE}" pid="100" name="zerocitations">
    <vt:lpwstr>True</vt:lpwstr>
  </property>
</Properties>
</file>