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Necesidades humanas y clasificación bienes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Necesidades humanas y clasificación bienes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NECESIDADES Y BIENES</dc:description>
  <dc:language>es</dc:language>
  <cp:keywords>keyword1, keyword2</cp:keywords>
  <dcterms:created xsi:type="dcterms:W3CDTF">2026-07-02T22:40:39Z</dcterms:created>
  <dcterms:modified xsi:type="dcterms:W3CDTF">2026-07-02T22:40:39Z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2014-01-07</vt:lpwstr>
  </property>
  <property fmtid="{D5CDD505-2E9C-101B-9397-08002B2CF9AE}" pid="8" name="apatitle">
    <vt:lpwstr>Necesidades humanas y clasificación bienes</vt:lpwstr>
  </property>
  <property fmtid="{D5CDD505-2E9C-101B-9397-08002B2CF9AE}" pid="9" name="apatitledisplay">
    <vt:lpwstr>Necesidades humanas y clasificación bienes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2026-07-02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NECESIDADES Y BIENES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100</vt:lpwstr>
  </property>
  <property fmtid="{D5CDD505-2E9C-101B-9397-08002B2CF9AE}" pid="97" name="zerocitations">
    <vt:lpwstr>True</vt:lpwstr>
  </property>
</Properties>
</file>