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Indicadores económicos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Indicadores económicos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INDICADORES MACRO</dc:description>
  <dc:language>es</dc:language>
  <cp:keywords>keyword1, keyword2</cp:keywords>
  <dcterms:created xsi:type="dcterms:W3CDTF">2026-01-22T17:09:06Z</dcterms:created>
  <dcterms:modified xsi:type="dcterms:W3CDTF">2026-01-22T17:09:06Z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2014-03-15</vt:lpwstr>
  </property>
  <property fmtid="{D5CDD505-2E9C-101B-9397-08002B2CF9AE}" pid="8" name="apatitle">
    <vt:lpwstr>Indicadores económicos esenciales</vt:lpwstr>
  </property>
  <property fmtid="{D5CDD505-2E9C-101B-9397-08002B2CF9AE}" pid="9" name="apatitledisplay">
    <vt:lpwstr>Indicadores económicos esenciales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2026-01-22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INDICADORES MACRO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100</vt:lpwstr>
  </property>
  <property fmtid="{D5CDD505-2E9C-101B-9397-08002B2CF9AE}" pid="96" name="zerocitations">
    <vt:lpwstr>True</vt:lpwstr>
  </property>
</Properties>
</file>