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Comercio internacional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Comercio internacional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COMERCIO INTERNACIONAL</dc:description>
  <dc:language>es</dc:language>
  <cp:keywords/>
  <dcterms:created xsi:type="dcterms:W3CDTF">2026-09-20T23:10:42Z</dcterms:created>
  <dcterms:modified xsi:type="dcterms:W3CDTF">2026-09-20T23:10:42Z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2014-03-29</vt:lpwstr>
  </property>
  <property fmtid="{D5CDD505-2E9C-101B-9397-08002B2CF9AE}" pid="9" name="apatitle">
    <vt:lpwstr>Comercio internacional</vt:lpwstr>
  </property>
  <property fmtid="{D5CDD505-2E9C-101B-9397-08002B2CF9AE}" pid="10" name="apatitledisplay">
    <vt:lpwstr>Comercio internacional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2026-09-20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COMERCIO INTERNACIONAL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