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Principios del Comercio Internacional: Intercambio y Globalización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Principios del Comercio Internacional: Intercambio y Globalización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>keyword1, keyword2</cp:keywords>
  <dcterms:created xsi:type="dcterms:W3CDTF">2025-12-17T13:39:55Z</dcterms:created>
  <dcterms:modified xsi:type="dcterms:W3CDTF">2025-12-17T13:39:55Z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2014-03-29</vt:lpwstr>
  </property>
  <property fmtid="{D5CDD505-2E9C-101B-9397-08002B2CF9AE}" pid="8" name="apasubtitle">
    <vt:lpwstr>Intercambio y Globalización</vt:lpwstr>
  </property>
  <property fmtid="{D5CDD505-2E9C-101B-9397-08002B2CF9AE}" pid="9" name="apatitle">
    <vt:lpwstr>Principios del Comercio Internacional</vt:lpwstr>
  </property>
  <property fmtid="{D5CDD505-2E9C-101B-9397-08002B2CF9AE}" pid="10" name="apatitledisplay">
    <vt:lpwstr>Principios del Comercio Internacional: Intercambio y Globalización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COMERCIO INTERNACIONAL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