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Estimador de Mínimos Cuadrados Ordinarios: Métodos y Aplicaciones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Estimador de Mínimos Cuadrados Ordinarios: Métodos y Aplicaciones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ESTIMADOR MCO</dc:description>
  <dc:language>es</dc:language>
  <cp:keywords>keyword1, keyword2</cp:keywords>
  <dcterms:created xsi:type="dcterms:W3CDTF">2025-04-04T19:45:29Z</dcterms:created>
  <dcterms:modified xsi:type="dcterms:W3CDTF">2025-04-04T19:45:29Z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2021-03-08</vt:lpwstr>
  </property>
  <property fmtid="{D5CDD505-2E9C-101B-9397-08002B2CF9AE}" pid="8" name="apasubtitle">
    <vt:lpwstr>Métodos y Aplicaciones</vt:lpwstr>
  </property>
  <property fmtid="{D5CDD505-2E9C-101B-9397-08002B2CF9AE}" pid="9" name="apatitle">
    <vt:lpwstr>Estimador de Mínimos Cuadrados Ordinarios</vt:lpwstr>
  </property>
  <property fmtid="{D5CDD505-2E9C-101B-9397-08002B2CF9AE}" pid="10" name="apatitledisplay">
    <vt:lpwstr>Estimador de Mínimos Cuadrados Ordinarios: Métodos y Aplicaciones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ESTIMADOR MCO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