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Problemas de Endogeneidad en Regresión: Métodos de Corrección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Problemas de Endogeneidad en Regresión: Métodos de Corrección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ENDOGENEIDAD EN REGRESIÓN</dc:description>
  <dc:language>es</dc:language>
  <cp:keywords>keyword1, keyword2</cp:keywords>
  <dcterms:created xsi:type="dcterms:W3CDTF">2025-04-04T19:45:09Z</dcterms:created>
  <dcterms:modified xsi:type="dcterms:W3CDTF">2025-04-04T19:45:09Z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2021-05-17</vt:lpwstr>
  </property>
  <property fmtid="{D5CDD505-2E9C-101B-9397-08002B2CF9AE}" pid="8" name="apasubtitle">
    <vt:lpwstr>Métodos de Corrección</vt:lpwstr>
  </property>
  <property fmtid="{D5CDD505-2E9C-101B-9397-08002B2CF9AE}" pid="9" name="apatitle">
    <vt:lpwstr>Problemas de Endogeneidad en Regresión</vt:lpwstr>
  </property>
  <property fmtid="{D5CDD505-2E9C-101B-9397-08002B2CF9AE}" pid="10" name="apatitledisplay">
    <vt:lpwstr>Problemas de Endogeneidad en Regresión: Métodos de Corrección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ENDOGENEIDAD EN REGRESIÓN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