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Perturbaciones No Esféricas en Regresión: Implicaciones y Soluciones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Perturbaciones No Esféricas en Regresión: Implicaciones y Soluciones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PERTURBACIONES NO ESFÉRICAS</dc:description>
  <dc:language>es</dc:language>
  <cp:keywords>keyword1, keyword2</cp:keywords>
  <dcterms:created xsi:type="dcterms:W3CDTF">2025-04-05T19:09:55Z</dcterms:created>
  <dcterms:modified xsi:type="dcterms:W3CDTF">2025-04-05T19:09:55Z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2021-05-24</vt:lpwstr>
  </property>
  <property fmtid="{D5CDD505-2E9C-101B-9397-08002B2CF9AE}" pid="8" name="apasubtitle">
    <vt:lpwstr>Implicaciones y Soluciones</vt:lpwstr>
  </property>
  <property fmtid="{D5CDD505-2E9C-101B-9397-08002B2CF9AE}" pid="9" name="apatitle">
    <vt:lpwstr>Perturbaciones No Esféricas en Regresión</vt:lpwstr>
  </property>
  <property fmtid="{D5CDD505-2E9C-101B-9397-08002B2CF9AE}" pid="10" name="apatitledisplay">
    <vt:lpwstr>Perturbaciones No Esféricas en Regresión: Implicaciones y Soluciones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PERTURBACIONES NO ESFÉRICAS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