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Bayesiana: Análisis Bivariado, Multivariado y Consideraciones de Perturbación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Bayesiana: Análisis Bivariado, Multivariado y Consideraciones de Perturbación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BAYESIANA</dc:description>
  <dc:language>es</dc:language>
  <cp:keywords>keyword1, keyword2</cp:keywords>
  <dcterms:created xsi:type="dcterms:W3CDTF">2025-04-05T19:12:20Z</dcterms:created>
  <dcterms:modified xsi:type="dcterms:W3CDTF">2025-04-05T19:12:20Z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2022-03-14</vt:lpwstr>
  </property>
  <property fmtid="{D5CDD505-2E9C-101B-9397-08002B2CF9AE}" pid="8" name="apasubtitle">
    <vt:lpwstr>Análisis Bivariado, Multivariado y Consideraciones de Perturbación</vt:lpwstr>
  </property>
  <property fmtid="{D5CDD505-2E9C-101B-9397-08002B2CF9AE}" pid="9" name="apatitle">
    <vt:lpwstr>Modelos de Regresión Bayesiana</vt:lpwstr>
  </property>
  <property fmtid="{D5CDD505-2E9C-101B-9397-08002B2CF9AE}" pid="10" name="apatitledisplay">
    <vt:lpwstr>Modelos de Regresión Bayesiana: Análisis Bivariado, Multivariado y Consideraciones de Perturbación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