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 de Emparejamiento: Uso del Propensity Score Matching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 de Emparejamiento: Uso del Propensity Score Matching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MODELO DE EMPAREJAMIENTO</dc:description>
  <dc:language>es</dc:language>
  <cp:keywords>keyword1, keyword2</cp:keywords>
  <dcterms:created xsi:type="dcterms:W3CDTF">2025-04-04T19:43:20Z</dcterms:created>
  <dcterms:modified xsi:type="dcterms:W3CDTF">2025-04-04T19:43:20Z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2022-04-18</vt:lpwstr>
  </property>
  <property fmtid="{D5CDD505-2E9C-101B-9397-08002B2CF9AE}" pid="8" name="apasubtitle">
    <vt:lpwstr>Uso del Propensity Score Matching</vt:lpwstr>
  </property>
  <property fmtid="{D5CDD505-2E9C-101B-9397-08002B2CF9AE}" pid="9" name="apatitle">
    <vt:lpwstr>Modelo de Emparejamiento</vt:lpwstr>
  </property>
  <property fmtid="{D5CDD505-2E9C-101B-9397-08002B2CF9AE}" pid="10" name="apatitledisplay">
    <vt:lpwstr>Modelo de Emparejamiento: Uso del Propensity Score Matching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MODELO DE EMPAREJAMIENTO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