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Análisis de Papers con RDD: Aplicaciones Prácticas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Análisis de Papers con RDD: Aplicaciones Prácticas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Introduccion A Los Experimentos Aleatorios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 De Emparejamiento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 Discontinua Rd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Regresion Discontinua Sharp Vs Fuzzy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Analizando Papers Con Rdd Usando Stata Y R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 De Control Sintetico Mcs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ANÁLISIS DE PAPERS CON RDD</dc:description>
  <dc:language>es</dc:language>
  <cp:keywords>keyword1, keyword2</cp:keywords>
  <dcterms:created xsi:type="dcterms:W3CDTF">2025-04-05T19:08:03Z</dcterms:created>
  <dcterms:modified xsi:type="dcterms:W3CDTF">2025-04-05T19:08:03Z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2022-05-09</vt:lpwstr>
  </property>
  <property fmtid="{D5CDD505-2E9C-101B-9397-08002B2CF9AE}" pid="8" name="apasubtitle">
    <vt:lpwstr>Aplicaciones Prácticas</vt:lpwstr>
  </property>
  <property fmtid="{D5CDD505-2E9C-101B-9397-08002B2CF9AE}" pid="9" name="apatitle">
    <vt:lpwstr>Análisis de Papers con RDD</vt:lpwstr>
  </property>
  <property fmtid="{D5CDD505-2E9C-101B-9397-08002B2CF9AE}" pid="10" name="apatitledisplay">
    <vt:lpwstr>Análisis de Papers con RDD: Aplicaciones Prácticas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ANÁLISIS DE PAPERS CON RDD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