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Factores que influyen en el rendimiento académico de la serie 100 y 200: Procesamiento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Factores que influyen en el rendimiento académico de la serie 100 y 200: Procesamiento de datos</w:t>
      </w:r>
    </w:p>
    <w:bookmarkEnd w:id="26"/>
    <w:bookmarkStart w:id="27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En el presente estudio, se busca evaluar las variables internas y externas que impactan en el rendimiento académico de los alumnos de las series 100 y 200 de la escuela de Economía. Con el fin de llevar a cabo esta evaluación, se aplicó una encuesta escrita a 174 estudiantes universitarios pertenecientes a dichas series.</w:t>
      </w:r>
    </w:p>
    <w:p>
      <w:pPr>
        <w:pStyle w:val="BodyText"/>
      </w:pPr>
      <w:r>
        <w:t xml:space="preserve">Dentro de las variables evaluadas se encuentran tanto aspectos cuantitativos como cualitativos, tales como el índice académico, sexo, edad, horas de estudio, frecuencia de visita a la biblioteca, entre otros. Estas variables nos proporcionaron datos suficientes para analizar el desempeño y rendimiento académico de los estudiantes, permitiéndonos así llegar a conclusiones certeras respecto a las hipótesis planteadas.</w:t>
      </w:r>
    </w:p>
    <w:p>
      <w:pPr>
        <w:pStyle w:val="BodyText"/>
      </w:pPr>
      <w:r>
        <w:t xml:space="preserve">Los resultados de esta investigación son de gran importancia para comprender los factores que influyen en el rendimiento académico de los estudiantes de las series 100 y 200, y contribuirán a la generación de estrategias y recomendaciones para mejorar dicho rendimiento.</w:t>
      </w:r>
    </w:p>
    <w:p>
      <w:pPr>
        <w:pStyle w:val="BodyText"/>
      </w:pPr>
      <w:r>
        <w:t xml:space="preserve">Estudiantes</w:t>
      </w:r>
    </w:p>
    <w:bookmarkEnd w:id="27"/>
    <w:bookmarkStart w:id="33" w:name="X348fda39726b8d07fe6a3e00d4b12271c511637"/>
    <w:p>
      <w:pPr>
        <w:pStyle w:val="Heading1"/>
      </w:pPr>
      <w:r>
        <w:t xml:space="preserve">El rendimiento académico de las series 100 y 200 (2018-II)</w:t>
      </w:r>
    </w:p>
    <w:bookmarkStart w:id="29" w:name="observación"/>
    <w:p>
      <w:pPr>
        <w:pStyle w:val="Heading2"/>
      </w:pPr>
      <w:r>
        <w:t xml:space="preserve">Observación</w:t>
      </w:r>
    </w:p>
    <w:bookmarkStart w:id="28" w:name="objetivos"/>
    <w:p>
      <w:pPr>
        <w:pStyle w:val="Heading3"/>
      </w:pPr>
      <w:r>
        <w:t xml:space="preserve">Objetivos:</w:t>
      </w:r>
    </w:p>
    <w:p>
      <w:pPr>
        <w:pStyle w:val="FirstParagraph"/>
      </w:pPr>
      <w:r>
        <w:t xml:space="preserve">El objetivo de este trabajo es evaluar el desempeño de los alumnos en relación a diversas variables, tales como sexo, serie, índice académico, número de cursos matriculados, horas de estudio, frecuencia de visita a la biblioteca y uso de redes sociales.</w:t>
      </w:r>
    </w:p>
    <w:bookmarkEnd w:id="28"/>
    <w:bookmarkEnd w:id="29"/>
    <w:bookmarkStart w:id="30" w:name="planteamiento-del-problema"/>
    <w:p>
      <w:pPr>
        <w:pStyle w:val="Heading2"/>
      </w:pPr>
      <w:r>
        <w:t xml:space="preserve">Planteamiento del problema</w:t>
      </w:r>
    </w:p>
    <w:p>
      <w:pPr>
        <w:pStyle w:val="FirstParagraph"/>
      </w:pPr>
      <w:r>
        <w:t xml:space="preserve">Este trabajo se propone responder a las siguientes interrogantes:</w:t>
      </w:r>
    </w:p>
    <w:p>
      <w:pPr>
        <w:pStyle w:val="Compact"/>
        <w:numPr>
          <w:ilvl w:val="0"/>
          <w:numId w:val="1001"/>
        </w:numPr>
      </w:pPr>
      <w:r>
        <w:t xml:space="preserve">¿Cómo afecta el número de cursos matriculados al rendimiento académico?</w:t>
      </w:r>
    </w:p>
    <w:p>
      <w:pPr>
        <w:pStyle w:val="Compact"/>
        <w:numPr>
          <w:ilvl w:val="0"/>
          <w:numId w:val="1001"/>
        </w:numPr>
      </w:pPr>
      <w:r>
        <w:t xml:space="preserve">¿Cómo influyen las horas de estudio en el índice académico?</w:t>
      </w:r>
    </w:p>
    <w:p>
      <w:pPr>
        <w:pStyle w:val="Compact"/>
        <w:numPr>
          <w:ilvl w:val="0"/>
          <w:numId w:val="1001"/>
        </w:numPr>
      </w:pPr>
      <w:r>
        <w:t xml:space="preserve">¿Cuál es la proporción de rendimiento académico entre hombres y mujeres?</w:t>
      </w:r>
    </w:p>
    <w:p>
      <w:pPr>
        <w:pStyle w:val="Compact"/>
        <w:numPr>
          <w:ilvl w:val="0"/>
          <w:numId w:val="1001"/>
        </w:numPr>
      </w:pPr>
      <w:r>
        <w:t xml:space="preserve">¿Cómo se ve afectado el rendimiento académico por la frecuencia de uso de la biblioteca?</w:t>
      </w:r>
    </w:p>
    <w:p>
      <w:pPr>
        <w:pStyle w:val="Compact"/>
        <w:numPr>
          <w:ilvl w:val="0"/>
          <w:numId w:val="1001"/>
        </w:numPr>
      </w:pPr>
      <w:r>
        <w:t xml:space="preserve">¿Qué impacto tiene la frecuencia de uso de las redes sociales en el rendimiento académico?</w:t>
      </w:r>
    </w:p>
    <w:bookmarkEnd w:id="30"/>
    <w:bookmarkStart w:id="31" w:name="hipótesis"/>
    <w:p>
      <w:pPr>
        <w:pStyle w:val="Heading2"/>
      </w:pPr>
      <w:r>
        <w:t xml:space="preserve">Hipótesis</w:t>
      </w:r>
    </w:p>
    <w:p>
      <w:pPr>
        <w:pStyle w:val="FirstParagraph"/>
      </w:pPr>
      <w:r>
        <w:t xml:space="preserve">Con el fin de analizar, comparar y evaluar las variables que influyen en el rendimiento académico, planteamos las siguientes posibles respuestas:</w:t>
      </w:r>
    </w:p>
    <w:p>
      <w:pPr>
        <w:pStyle w:val="Compact"/>
        <w:numPr>
          <w:ilvl w:val="0"/>
          <w:numId w:val="1002"/>
        </w:numPr>
      </w:pPr>
      <w:r>
        <w:t xml:space="preserve">Se espera que la serie 100 presente una mayor proporción de alumnos aprobados.</w:t>
      </w:r>
    </w:p>
    <w:p>
      <w:pPr>
        <w:pStyle w:val="Compact"/>
        <w:numPr>
          <w:ilvl w:val="0"/>
          <w:numId w:val="1002"/>
        </w:numPr>
      </w:pPr>
      <w:r>
        <w:t xml:space="preserve">A medida que se disminuye el número de cursos matriculados, se espera que el índice académico aprobatorio supere el 50%.</w:t>
      </w:r>
    </w:p>
    <w:p>
      <w:pPr>
        <w:pStyle w:val="Compact"/>
        <w:numPr>
          <w:ilvl w:val="0"/>
          <w:numId w:val="1002"/>
        </w:numPr>
      </w:pPr>
      <w:r>
        <w:t xml:space="preserve">Se espera que a mayor cantidad de horas de estudio, exista una mayor probabilidad de obtener un mejor rendimiento académico.</w:t>
      </w:r>
    </w:p>
    <w:p>
      <w:pPr>
        <w:pStyle w:val="Compact"/>
        <w:numPr>
          <w:ilvl w:val="0"/>
          <w:numId w:val="1002"/>
        </w:numPr>
      </w:pPr>
      <w:r>
        <w:t xml:space="preserve">Se presume que un menor uso de la biblioteca se asociará con una mayor probabilidad de desaprobación.</w:t>
      </w:r>
    </w:p>
    <w:p>
      <w:pPr>
        <w:pStyle w:val="Compact"/>
        <w:numPr>
          <w:ilvl w:val="0"/>
          <w:numId w:val="1002"/>
        </w:numPr>
      </w:pPr>
      <w:r>
        <w:t xml:space="preserve">Se espera que las mujeres representen una proporción más alta en el rendimiento académico.</w:t>
      </w:r>
    </w:p>
    <w:bookmarkEnd w:id="31"/>
    <w:bookmarkStart w:id="32" w:name="trabajo-de-campo-y-resultados"/>
    <w:p>
      <w:pPr>
        <w:pStyle w:val="Heading2"/>
      </w:pPr>
      <w:r>
        <w:t xml:space="preserve">Trabajo de campo y resultados</w:t>
      </w:r>
    </w:p>
    <w:p>
      <w:pPr>
        <w:pStyle w:val="FirstParagraph"/>
      </w:pPr>
      <w:r>
        <w:t xml:space="preserve">A continuación se presentan los datos recopilados durante el trabajo de campo y los resultados obtenidos:</w:t>
      </w:r>
    </w:p>
    <w:p>
      <w:pPr>
        <w:pStyle w:val="Compact"/>
        <w:numPr>
          <w:ilvl w:val="0"/>
          <w:numId w:val="1003"/>
        </w:numPr>
      </w:pPr>
      <w:r>
        <w:t xml:space="preserve">Número total de alumnos: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174</m:t>
        </m:r>
      </m:oMath>
    </w:p>
    <w:p>
      <w:pPr>
        <w:pStyle w:val="Compact"/>
        <w:numPr>
          <w:ilvl w:val="0"/>
          <w:numId w:val="1003"/>
        </w:numPr>
      </w:pPr>
      <w:r>
        <w:t xml:space="preserve">Media poblacional: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11.5458</m:t>
        </m:r>
      </m:oMath>
    </w:p>
    <w:p>
      <w:pPr>
        <w:pStyle w:val="Compact"/>
        <w:numPr>
          <w:ilvl w:val="0"/>
          <w:numId w:val="1003"/>
        </w:numPr>
      </w:pPr>
      <w:r>
        <w:t xml:space="preserve">Desviación estándar poblacional: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4.10</m:t>
        </m:r>
      </m:oMath>
    </w:p>
    <w:p>
      <w:pPr>
        <w:pStyle w:val="FirstParagraph"/>
      </w:pPr>
      <w:r>
        <w:t xml:space="preserve">Se realizó una muestra piloto con los primeros 20 estudiantes, de la cual se obtuvieron los siguientes datos:</w:t>
      </w:r>
    </w:p>
    <w:p>
      <w:pPr>
        <w:pStyle w:val="Compact"/>
        <w:numPr>
          <w:ilvl w:val="0"/>
          <w:numId w:val="1004"/>
        </w:numPr>
      </w:pPr>
      <w:r>
        <w:t xml:space="preserve">Tamaño de la muestra: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</w:p>
    <w:p>
      <w:pPr>
        <w:pStyle w:val="Compact"/>
        <w:numPr>
          <w:ilvl w:val="0"/>
          <w:numId w:val="1004"/>
        </w:numPr>
      </w:pPr>
      <w:r>
        <w:t xml:space="preserve">Desviación estándar de la muestra: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1.842081989</m:t>
        </m:r>
      </m:oMath>
    </w:p>
    <w:p>
      <w:pPr>
        <w:pStyle w:val="Compact"/>
        <w:numPr>
          <w:ilvl w:val="0"/>
          <w:numId w:val="1004"/>
        </w:numPr>
      </w:pPr>
      <w:r>
        <w:t xml:space="preserve">Media de la muestra: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10.8185</m:t>
        </m:r>
      </m:oMath>
    </w:p>
    <w:p>
      <w:pPr>
        <w:pStyle w:val="FirstParagraph"/>
      </w:pPr>
      <w:r>
        <w:t xml:space="preserve">Utilizando los datos y considerando un nivel de confianza del 95% y un margen de error de 0.6, se determinó el tamaño necesario para una muestra representativa mediante la fórmula: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Z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Z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Sustituyendo los valores en la fórmula, se obtuvo: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174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1.96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1.842081989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173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0.6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1.96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1.842081989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El resultado obtenido fue</w:t>
      </w:r>
      <w:r>
        <w:t xml:space="preserve"> </w:t>
      </w:r>
      <m:oMath>
        <m:r>
          <m:t>n</m:t>
        </m:r>
        <m:r>
          <m:rPr>
            <m:sty m:val="p"/>
          </m:rPr>
          <m:t>≈</m:t>
        </m:r>
        <m:r>
          <m:t>30.1158088</m:t>
        </m:r>
      </m:oMath>
      <w:r>
        <w:t xml:space="preserve">, lo cual indica que se requieren 30 datos aleatorios para tener una muestra representativa.</w:t>
      </w:r>
    </w:p>
    <w:p>
      <w:pPr>
        <w:pStyle w:val="BodyText"/>
      </w:pPr>
      <w:r>
        <w:t xml:space="preserve">A partir de la muestra de 30 datos, se realizaron las siguientes estimaciones:</w:t>
      </w:r>
    </w:p>
    <w:p>
      <w:pPr>
        <w:pStyle w:val="Compact"/>
        <w:numPr>
          <w:ilvl w:val="0"/>
          <w:numId w:val="1005"/>
        </w:numPr>
      </w:pPr>
      <w:r>
        <w:t xml:space="preserve">Estimación de la media poblacional:</w:t>
      </w:r>
      <w:r>
        <w:t xml:space="preserve"> </w:t>
      </w:r>
      <m:oMath>
        <m:acc>
          <m:accPr>
            <m:chr m:val="̂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t>10.720333</m:t>
        </m:r>
      </m:oMath>
    </w:p>
    <w:p>
      <w:pPr>
        <w:pStyle w:val="Compact"/>
        <w:numPr>
          <w:ilvl w:val="0"/>
          <w:numId w:val="1005"/>
        </w:numPr>
      </w:pPr>
      <w:r>
        <w:t xml:space="preserve">Estimación de la desviación estándar poblacional:</w:t>
      </w:r>
      <w:r>
        <w:t xml:space="preserve"> </w:t>
      </w:r>
      <m:oMath>
        <m:acc>
          <m:accPr>
            <m:chr m:val="̂"/>
          </m:accPr>
          <m:e>
            <m:r>
              <m:t>σ</m:t>
            </m:r>
          </m:e>
        </m:acc>
        <m:r>
          <m:rPr>
            <m:sty m:val="p"/>
          </m:rPr>
          <m:t>=</m:t>
        </m:r>
        <m:r>
          <m:t>2.325168861</m:t>
        </m:r>
      </m:oMath>
    </w:p>
    <w:p>
      <w:pPr>
        <w:pStyle w:val="FirstParagraph"/>
      </w:pPr>
      <w:r>
        <w:t xml:space="preserve">Estas estimaciones proporcionan información sobre los valores promedio y la variabilidad de la población a partir de la muestra seleccionada.</w:t>
      </w:r>
    </w:p>
    <w:bookmarkEnd w:id="32"/>
    <w:bookmarkEnd w:id="33"/>
    <w:bookmarkStart w:id="38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6"/>
        </w:numPr>
      </w:pPr>
      <w:hyperlink r:id="rId34"/>
      <w:r>
        <w:t xml:space="preserve"> </w:t>
      </w:r>
      <w:hyperlink r:id="rId35">
        <w:r>
          <w:rPr>
            <w:rStyle w:val="Hyperlink"/>
          </w:rPr>
          <w:t xml:space="preserve">Estadigrafos</w:t>
        </w:r>
      </w:hyperlink>
    </w:p>
    <w:p>
      <w:pPr>
        <w:pStyle w:val="Compact"/>
        <w:numPr>
          <w:ilvl w:val="0"/>
          <w:numId w:val="1006"/>
        </w:numPr>
      </w:pPr>
      <w:hyperlink r:id="rId36"/>
      <w:r>
        <w:t xml:space="preserve"> </w:t>
      </w:r>
      <w:hyperlink r:id="rId37">
        <w:r>
          <w:rPr>
            <w:rStyle w:val="Hyperlink"/>
          </w:rPr>
          <w:t xml:space="preserve">Factores Que Influyen Rendimiento Academico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5" Target="https://achalmaedison.netlify.app/econometria/estadistica/2018-05-16-estadigrafos" TargetMode="External" /><Relationship Type="http://schemas.openxmlformats.org/officeDocument/2006/relationships/hyperlink" Id="rId34" Target="https://achalmaedison.netlify.app/econometria/estadistica/2018-05-16-estadigrafos/index.pdf" TargetMode="External" /><Relationship Type="http://schemas.openxmlformats.org/officeDocument/2006/relationships/hyperlink" Id="rId37" Target="https://achalmaedison.netlify.app/econometria/estadistica/2018-12-26-factores-que-influyen-rendimiento-academico" TargetMode="External" /><Relationship Type="http://schemas.openxmlformats.org/officeDocument/2006/relationships/hyperlink" Id="rId36" Target="https://achalmaedison.netlify.app/econometria/estadistica/2018-12-26-factores-que-influyen-rendimiento-academico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achalmaedison.netlify.app/econometria/estadistica/2018-05-16-estadigrafos" TargetMode="External" /><Relationship Type="http://schemas.openxmlformats.org/officeDocument/2006/relationships/hyperlink" Id="rId34" Target="https://achalmaedison.netlify.app/econometria/estadistica/2018-05-16-estadigrafos/index.pdf" TargetMode="External" /><Relationship Type="http://schemas.openxmlformats.org/officeDocument/2006/relationships/hyperlink" Id="rId37" Target="https://achalmaedison.netlify.app/econometria/estadistica/2018-12-26-factores-que-influyen-rendimiento-academico" TargetMode="External" /><Relationship Type="http://schemas.openxmlformats.org/officeDocument/2006/relationships/hyperlink" Id="rId36" Target="https://achalmaedison.netlify.app/econometria/estadistica/2018-12-26-factores-que-influyen-rendimiento-academico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2025-04-05T19:06:38Z</dcterms:created>
  <dcterms:modified xsi:type="dcterms:W3CDTF">2025-04-05T19:06:38Z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2018-12-26</vt:lpwstr>
  </property>
  <property fmtid="{D5CDD505-2E9C-101B-9397-08002B2CF9AE}" pid="8" name="apasubtitle">
    <vt:lpwstr>Procesamiento de datos</vt:lpwstr>
  </property>
  <property fmtid="{D5CDD505-2E9C-101B-9397-08002B2CF9AE}" pid="9" name="apatitle">
    <vt:lpwstr>Factores que influyen en el rendimiento académico de la serie 100 y 200</vt:lpwstr>
  </property>
  <property fmtid="{D5CDD505-2E9C-101B-9397-08002B2CF9AE}" pid="10" name="apatitledisplay">
    <vt:lpwstr>Factores que influyen en el rendimiento académico de la serie 100 y 200: Procesamiento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