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54C" w14:textId="77777777" w:rsidR="00282F15" w:rsidRDefault="00000000">
      <w:pPr>
        <w:pStyle w:val="Heading1"/>
      </w:pPr>
      <w:bookmarkStart w:id="0" w:name="X79a9330a264f2786b6857c31fc91f9c6a526c76"/>
      <w:r>
        <w:t>CSET400C Capstone Project - Milestone-1 Report</w:t>
      </w:r>
    </w:p>
    <w:p w14:paraId="3DE7F5EA" w14:textId="77777777" w:rsidR="00282F15" w:rsidRDefault="00000000">
      <w:pPr>
        <w:pStyle w:val="FirstParagraph"/>
      </w:pPr>
      <w:r>
        <w:rPr>
          <w:b/>
          <w:bCs/>
        </w:rPr>
        <w:t>Bennett University | School of Computer Science Engineering and Technology</w:t>
      </w:r>
      <w:r>
        <w:br/>
      </w:r>
      <w:r>
        <w:rPr>
          <w:b/>
          <w:bCs/>
        </w:rPr>
        <w:t>Course Code:</w:t>
      </w:r>
      <w:r>
        <w:t xml:space="preserve"> CSET400C (0-0-12-6) | </w:t>
      </w:r>
      <w:r>
        <w:rPr>
          <w:b/>
          <w:bCs/>
        </w:rPr>
        <w:t>Academic Session:</w:t>
      </w:r>
      <w:r>
        <w:t xml:space="preserve"> 2026–27</w:t>
      </w:r>
      <w:r>
        <w:br/>
      </w:r>
      <w:r>
        <w:rPr>
          <w:b/>
          <w:bCs/>
        </w:rPr>
        <w:t>Course Coordinator:</w:t>
      </w:r>
      <w:r>
        <w:t xml:space="preserve"> Dr. Jabir Ali</w:t>
      </w:r>
    </w:p>
    <w:p w14:paraId="06D1D96B" w14:textId="77777777" w:rsidR="00282F15" w:rsidRDefault="00000000">
      <w:r>
        <w:pict w14:anchorId="51B93F7E">
          <v:rect id="_x0000_i1025" style="width:0;height:1.5pt" o:hralign="center" o:hrstd="t" o:hr="t"/>
        </w:pict>
      </w:r>
    </w:p>
    <w:p w14:paraId="3B8E9552" w14:textId="77777777" w:rsidR="00282F15" w:rsidRDefault="00000000">
      <w:pPr>
        <w:pStyle w:val="Heading2"/>
      </w:pPr>
      <w:bookmarkStart w:id="1" w:name="project-title-horizon-ai"/>
      <w:r>
        <w:t>Project Title: HORIZON AI</w:t>
      </w:r>
    </w:p>
    <w:p w14:paraId="5D0E4CF5" w14:textId="185E3DAD" w:rsidR="00282F15" w:rsidRDefault="00000000" w:rsidP="00310D88">
      <w:pPr>
        <w:pStyle w:val="Heading3"/>
      </w:pPr>
      <w:bookmarkStart w:id="2" w:name="X017ae66539e48efb1e7b0f694030af9981a725c"/>
      <w:r>
        <w:t>Autonomous Multi-Dimensional Urban Impact Assessment &amp; Future Simulation Engine for Delhi-NCR</w:t>
      </w:r>
    </w:p>
    <w:p w14:paraId="08AB3517" w14:textId="77777777" w:rsidR="00282F1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Team Members:</w:t>
      </w:r>
    </w:p>
    <w:p w14:paraId="333B5DA2" w14:textId="66FE1D83" w:rsidR="00282F15" w:rsidRDefault="00000000" w:rsidP="00310D88">
      <w:pPr>
        <w:pStyle w:val="Compact"/>
        <w:numPr>
          <w:ilvl w:val="1"/>
          <w:numId w:val="3"/>
        </w:numPr>
      </w:pPr>
      <w:r>
        <w:t xml:space="preserve">Team Leader: </w:t>
      </w:r>
      <w:r w:rsidR="00310D88">
        <w:t>Achal Singh Shekhawat</w:t>
      </w:r>
      <w:r>
        <w:t xml:space="preserve"> | Enrollment No: </w:t>
      </w:r>
      <w:r w:rsidR="00310D88">
        <w:t>E23CSEU0874</w:t>
      </w:r>
      <w:r>
        <w:t xml:space="preserve"> | Email: </w:t>
      </w:r>
      <w:r w:rsidR="00310D88">
        <w:t>e23cseu0874@bennett.edu.in</w:t>
      </w:r>
    </w:p>
    <w:p w14:paraId="0783D8B0" w14:textId="77777777" w:rsidR="00282F15" w:rsidRDefault="00000000">
      <w:r>
        <w:pict w14:anchorId="4AC5946C">
          <v:rect id="_x0000_i1026" style="width:0;height:1.5pt" o:hralign="center" o:hrstd="t" o:hr="t"/>
        </w:pict>
      </w:r>
    </w:p>
    <w:p w14:paraId="681C7A54" w14:textId="77777777" w:rsidR="00282F15" w:rsidRDefault="00000000">
      <w:pPr>
        <w:pStyle w:val="Heading2"/>
      </w:pPr>
      <w:bookmarkStart w:id="3" w:name="problem-statement-motivation"/>
      <w:bookmarkEnd w:id="1"/>
      <w:bookmarkEnd w:id="2"/>
      <w:r>
        <w:t>1. Problem Statement &amp; Motivation</w:t>
      </w:r>
    </w:p>
    <w:p w14:paraId="278DD0AB" w14:textId="77777777" w:rsidR="00282F15" w:rsidRDefault="00000000">
      <w:pPr>
        <w:pStyle w:val="Heading3"/>
      </w:pPr>
      <w:bookmarkStart w:id="4" w:name="context"/>
      <w:r>
        <w:t>1.1 Context</w:t>
      </w:r>
    </w:p>
    <w:p w14:paraId="068AF608" w14:textId="77777777" w:rsidR="00282F15" w:rsidRDefault="00000000">
      <w:pPr>
        <w:pStyle w:val="FirstParagraph"/>
      </w:pPr>
      <w:r>
        <w:t>The National Capital Region (Delhi-NCR), spanning over 55,000 sq. km and supporting over 46 million residents, is one of the fastest-growing urban agglomerations in the world. Rapid and uncoordinated infrastructure projects (e.g., mega commercial malls, high-density residential towers, and expressways) frequently outpace the carrying capacity of municipal resources.</w:t>
      </w:r>
    </w:p>
    <w:p w14:paraId="1C0D5671" w14:textId="77777777" w:rsidR="00282F15" w:rsidRDefault="00000000">
      <w:pPr>
        <w:pStyle w:val="Heading3"/>
      </w:pPr>
      <w:bookmarkStart w:id="5" w:name="core-problem"/>
      <w:bookmarkEnd w:id="4"/>
      <w:r>
        <w:t>1.2 Core Problem</w:t>
      </w:r>
    </w:p>
    <w:p w14:paraId="46B9F61B" w14:textId="77777777" w:rsidR="00282F15" w:rsidRDefault="00000000">
      <w:pPr>
        <w:pStyle w:val="FirstParagraph"/>
      </w:pPr>
      <w:r>
        <w:t>Currently, Environmental Impact Assessments (EIAs), Traffic Impact Assessments (TIAs), and municipal approvals are conducted:</w:t>
      </w:r>
    </w:p>
    <w:p w14:paraId="67234778" w14:textId="77777777" w:rsidR="00282F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 Static Silos:</w:t>
      </w:r>
      <w:r>
        <w:t xml:space="preserve"> Traffic, air quality, water tables, and economic returns are evaluated by independent agencies using static, retrospective spreadsheets rather than dynamic causal models.</w:t>
      </w:r>
    </w:p>
    <w:p w14:paraId="4F79A261" w14:textId="77777777" w:rsidR="00282F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Without Spatial Sensitivity:</w:t>
      </w:r>
      <w:r>
        <w:t xml:space="preserve"> Projects fail to account for micro-zoning, proximity to multimodal transit nodes (DMRC metro corridors, DTC bus hubs), or baseline aquifer stress.</w:t>
      </w:r>
    </w:p>
    <w:p w14:paraId="085750A3" w14:textId="77777777" w:rsidR="00282F1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Without Multi-Year Forecasting:</w:t>
      </w:r>
      <w:r>
        <w:t xml:space="preserve"> Planners lack interactive tools to project the 5-to-15 year cumulative impacts of a project before municipal permits are granted.</w:t>
      </w:r>
    </w:p>
    <w:p w14:paraId="18BD3830" w14:textId="77777777" w:rsidR="00282F15" w:rsidRDefault="00000000">
      <w:pPr>
        <w:pStyle w:val="Heading3"/>
      </w:pPr>
      <w:bookmarkStart w:id="6" w:name="proposed-solution"/>
      <w:bookmarkEnd w:id="5"/>
      <w:r>
        <w:t>1.3 Proposed Solution</w:t>
      </w:r>
    </w:p>
    <w:p w14:paraId="2E213B0B" w14:textId="77777777" w:rsidR="00282F15" w:rsidRDefault="00000000">
      <w:pPr>
        <w:pStyle w:val="FirstParagraph"/>
      </w:pPr>
      <w:r>
        <w:rPr>
          <w:b/>
          <w:bCs/>
        </w:rPr>
        <w:t>HORIZON AI</w:t>
      </w:r>
      <w:r>
        <w:t xml:space="preserve"> is an AI-driven, spatially aware urban simulation platform tailored for Delhi-NCR. It evaluates proposed developments across 7 core dimensions-</w:t>
      </w:r>
      <w:r>
        <w:rPr>
          <w:b/>
          <w:bCs/>
        </w:rPr>
        <w:t>Mobility, Air Quality, Resource Stress, Economic GVA, Infrastructure Stress, Social Equity, and Climate Resilience</w:t>
      </w:r>
      <w:r>
        <w:t>-generating real-time impact ledgers, 15-year temporal projections, and automated policy mitigation strategies.</w:t>
      </w:r>
    </w:p>
    <w:p w14:paraId="4BE2D1EA" w14:textId="77777777" w:rsidR="00282F15" w:rsidRDefault="00000000">
      <w:r>
        <w:pict w14:anchorId="18DBD04C">
          <v:rect id="_x0000_i1027" style="width:0;height:1.5pt" o:hralign="center" o:hrstd="t" o:hr="t"/>
        </w:pict>
      </w:r>
    </w:p>
    <w:p w14:paraId="579BCB55" w14:textId="77777777" w:rsidR="00282F15" w:rsidRDefault="00000000">
      <w:pPr>
        <w:pStyle w:val="Heading2"/>
      </w:pPr>
      <w:bookmarkStart w:id="7" w:name="X054e2be9e1e8957acff7b5c41cb04505ca8bf75"/>
      <w:bookmarkEnd w:id="3"/>
      <w:bookmarkEnd w:id="6"/>
      <w:r>
        <w:t>2. UN Sustainable Development Goal (SDG) Alignment &amp; Rationale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236"/>
        <w:gridCol w:w="992"/>
        <w:gridCol w:w="6348"/>
      </w:tblGrid>
      <w:tr w:rsidR="00282F15" w14:paraId="471B573C" w14:textId="77777777" w:rsidTr="0028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0ED4671B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SDG Goal</w:t>
            </w:r>
          </w:p>
        </w:tc>
        <w:tc>
          <w:tcPr>
            <w:tcW w:w="0" w:type="auto"/>
            <w:shd w:val="clear" w:color="auto" w:fill="E7E6E6"/>
          </w:tcPr>
          <w:p w14:paraId="05842784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Target</w:t>
            </w:r>
          </w:p>
        </w:tc>
        <w:tc>
          <w:tcPr>
            <w:tcW w:w="0" w:type="auto"/>
            <w:shd w:val="clear" w:color="auto" w:fill="E7E6E6"/>
          </w:tcPr>
          <w:p w14:paraId="39ECA8FA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Relevance &amp; Direct Contribution of HORIZON AI</w:t>
            </w:r>
          </w:p>
        </w:tc>
      </w:tr>
      <w:tr w:rsidR="00282F15" w14:paraId="72097366" w14:textId="77777777">
        <w:tc>
          <w:tcPr>
            <w:tcW w:w="0" w:type="auto"/>
          </w:tcPr>
          <w:p w14:paraId="7EEE7F85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SDG 11: Sustainable Cities &amp; Communities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>(Primary)</w:t>
            </w:r>
          </w:p>
        </w:tc>
        <w:tc>
          <w:tcPr>
            <w:tcW w:w="0" w:type="auto"/>
          </w:tcPr>
          <w:p w14:paraId="1E9F12A5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Target 11.3 &amp; 11.6</w:t>
            </w:r>
          </w:p>
        </w:tc>
        <w:tc>
          <w:tcPr>
            <w:tcW w:w="0" w:type="auto"/>
          </w:tcPr>
          <w:p w14:paraId="579B0B32" w14:textId="77777777" w:rsidR="00282F15" w:rsidRDefault="00000000">
            <w:pPr>
              <w:pStyle w:val="Compact"/>
            </w:pPr>
            <w:r>
              <w:rPr>
                <w:sz w:val="19"/>
              </w:rPr>
              <w:t>• Enables participatory, integrated urban planning for municipal authorities (DDA, NCRPB, NOIDA/GNIDA, GMDA). • Reduces the per-capita adverse environmental impact of cities by simulating PM2.5, PM10, noise buffers, and municipal solid waste generation before construction.</w:t>
            </w:r>
          </w:p>
        </w:tc>
      </w:tr>
      <w:tr w:rsidR="00282F15" w14:paraId="32FDE033" w14:textId="77777777">
        <w:tc>
          <w:tcPr>
            <w:tcW w:w="0" w:type="auto"/>
          </w:tcPr>
          <w:p w14:paraId="6F9D0205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SDG 13: Climate Action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>(Secondary)</w:t>
            </w:r>
          </w:p>
        </w:tc>
        <w:tc>
          <w:tcPr>
            <w:tcW w:w="0" w:type="auto"/>
          </w:tcPr>
          <w:p w14:paraId="75635E4B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Target 13.2 &amp; 13.3</w:t>
            </w:r>
          </w:p>
        </w:tc>
        <w:tc>
          <w:tcPr>
            <w:tcW w:w="0" w:type="auto"/>
          </w:tcPr>
          <w:p w14:paraId="0025536B" w14:textId="77777777" w:rsidR="00282F15" w:rsidRDefault="00000000">
            <w:pPr>
              <w:pStyle w:val="Compact"/>
            </w:pPr>
            <w:r>
              <w:rPr>
                <w:sz w:val="19"/>
              </w:rPr>
              <w:t>• Integrates carbon footprint and microclimate stress indicators into local development approvals. • Simulates EV transition scenarios and mandatory green canopy buffers to offset operational emissions.</w:t>
            </w:r>
          </w:p>
        </w:tc>
      </w:tr>
      <w:tr w:rsidR="00282F15" w14:paraId="761FCEDD" w14:textId="77777777">
        <w:tc>
          <w:tcPr>
            <w:tcW w:w="0" w:type="auto"/>
          </w:tcPr>
          <w:p w14:paraId="508EE470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SDG 9: Industry, Innovation &amp; Infrastructure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>(Supporting)</w:t>
            </w:r>
          </w:p>
        </w:tc>
        <w:tc>
          <w:tcPr>
            <w:tcW w:w="0" w:type="auto"/>
          </w:tcPr>
          <w:p w14:paraId="14DE71BC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Target 9.1 &amp; 9.4</w:t>
            </w:r>
          </w:p>
        </w:tc>
        <w:tc>
          <w:tcPr>
            <w:tcW w:w="0" w:type="auto"/>
          </w:tcPr>
          <w:p w14:paraId="34BDF2FE" w14:textId="77777777" w:rsidR="00282F15" w:rsidRDefault="00000000">
            <w:pPr>
              <w:pStyle w:val="Compact"/>
            </w:pPr>
            <w:r>
              <w:rPr>
                <w:sz w:val="19"/>
              </w:rPr>
              <w:t>• Fosters resilient, sustainable infrastructure development through proactive infrastructure stress scoring (ISS) and transit-oriented development (TOD) alignment.</w:t>
            </w:r>
          </w:p>
        </w:tc>
      </w:tr>
    </w:tbl>
    <w:p w14:paraId="3D4FF743" w14:textId="77777777" w:rsidR="00282F15" w:rsidRDefault="00000000">
      <w:r>
        <w:pict w14:anchorId="43D2BE03">
          <v:rect id="_x0000_i1028" style="width:0;height:1.5pt" o:hralign="center" o:hrstd="t" o:hr="t"/>
        </w:pict>
      </w:r>
    </w:p>
    <w:p w14:paraId="3FCD8C4C" w14:textId="77777777" w:rsidR="00282F15" w:rsidRDefault="00000000">
      <w:pPr>
        <w:pStyle w:val="Heading2"/>
      </w:pPr>
      <w:bookmarkStart w:id="8" w:name="X802b32c7b55e3c5b4ac27a6c70944358937e362"/>
      <w:bookmarkEnd w:id="7"/>
      <w:r>
        <w:t>3. Literature Review &amp; Existing Solutions Gap Analysis</w:t>
      </w:r>
    </w:p>
    <w:p w14:paraId="4B8C19F9" w14:textId="77777777" w:rsidR="00282F15" w:rsidRDefault="00000000">
      <w:pPr>
        <w:pStyle w:val="Heading3"/>
      </w:pPr>
      <w:bookmarkStart w:id="9" w:name="Xbd2ce538f1ef42e58583eb808787346d8259d36"/>
      <w:r>
        <w:t>3.1 Review of Existing Methodologies and Tools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831"/>
        <w:gridCol w:w="1507"/>
        <w:gridCol w:w="2303"/>
        <w:gridCol w:w="3935"/>
      </w:tblGrid>
      <w:tr w:rsidR="00282F15" w14:paraId="2AB5CCD1" w14:textId="77777777" w:rsidTr="0028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58CD418B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Platform / Tool</w:t>
            </w:r>
          </w:p>
        </w:tc>
        <w:tc>
          <w:tcPr>
            <w:tcW w:w="0" w:type="auto"/>
            <w:shd w:val="clear" w:color="auto" w:fill="E7E6E6"/>
          </w:tcPr>
          <w:p w14:paraId="55585467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Developer / Origin</w:t>
            </w:r>
          </w:p>
        </w:tc>
        <w:tc>
          <w:tcPr>
            <w:tcW w:w="0" w:type="auto"/>
            <w:shd w:val="clear" w:color="auto" w:fill="E7E6E6"/>
          </w:tcPr>
          <w:p w14:paraId="38AAC444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Core Strengths</w:t>
            </w:r>
          </w:p>
        </w:tc>
        <w:tc>
          <w:tcPr>
            <w:tcW w:w="0" w:type="auto"/>
            <w:shd w:val="clear" w:color="auto" w:fill="E7E6E6"/>
          </w:tcPr>
          <w:p w14:paraId="0A383E2C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Critical Limitations</w:t>
            </w:r>
          </w:p>
        </w:tc>
      </w:tr>
      <w:tr w:rsidR="00282F15" w14:paraId="38F712CA" w14:textId="77777777">
        <w:tc>
          <w:tcPr>
            <w:tcW w:w="0" w:type="auto"/>
          </w:tcPr>
          <w:p w14:paraId="1B7F358F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ArcGIS Urban</w:t>
            </w:r>
          </w:p>
        </w:tc>
        <w:tc>
          <w:tcPr>
            <w:tcW w:w="0" w:type="auto"/>
          </w:tcPr>
          <w:p w14:paraId="7A367B4C" w14:textId="77777777" w:rsidR="00282F15" w:rsidRDefault="00000000">
            <w:pPr>
              <w:pStyle w:val="Compact"/>
            </w:pPr>
            <w:r>
              <w:rPr>
                <w:sz w:val="19"/>
              </w:rPr>
              <w:t>Esri</w:t>
            </w:r>
          </w:p>
        </w:tc>
        <w:tc>
          <w:tcPr>
            <w:tcW w:w="0" w:type="auto"/>
          </w:tcPr>
          <w:p w14:paraId="17251656" w14:textId="77777777" w:rsidR="00282F15" w:rsidRDefault="00000000">
            <w:pPr>
              <w:pStyle w:val="Compact"/>
            </w:pPr>
            <w:r>
              <w:rPr>
                <w:sz w:val="19"/>
              </w:rPr>
              <w:t>Comprehensive 3D zoning visualization and parcel tracking.</w:t>
            </w:r>
          </w:p>
        </w:tc>
        <w:tc>
          <w:tcPr>
            <w:tcW w:w="0" w:type="auto"/>
          </w:tcPr>
          <w:p w14:paraId="04D6A14F" w14:textId="77777777" w:rsidR="00282F15" w:rsidRDefault="00000000">
            <w:pPr>
              <w:pStyle w:val="Compact"/>
            </w:pPr>
            <w:r>
              <w:rPr>
                <w:sz w:val="19"/>
              </w:rPr>
              <w:t>High enterprise licensing costs, lacks local Indian urban baselines (CPCB AQI, MPD-2041 zoning), closed-source proprietary causal models.</w:t>
            </w:r>
          </w:p>
        </w:tc>
      </w:tr>
      <w:tr w:rsidR="00282F15" w14:paraId="26D6081C" w14:textId="77777777">
        <w:tc>
          <w:tcPr>
            <w:tcW w:w="0" w:type="auto"/>
          </w:tcPr>
          <w:p w14:paraId="7998A6F9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UrbanFootprint</w:t>
            </w:r>
          </w:p>
        </w:tc>
        <w:tc>
          <w:tcPr>
            <w:tcW w:w="0" w:type="auto"/>
          </w:tcPr>
          <w:p w14:paraId="704A8542" w14:textId="77777777" w:rsidR="00282F15" w:rsidRDefault="00000000">
            <w:pPr>
              <w:pStyle w:val="Compact"/>
            </w:pPr>
            <w:r>
              <w:rPr>
                <w:sz w:val="19"/>
              </w:rPr>
              <w:t>UrbanFootprint Inc.</w:t>
            </w:r>
          </w:p>
        </w:tc>
        <w:tc>
          <w:tcPr>
            <w:tcW w:w="0" w:type="auto"/>
          </w:tcPr>
          <w:p w14:paraId="75E716E8" w14:textId="77777777" w:rsidR="00282F15" w:rsidRDefault="00000000">
            <w:pPr>
              <w:pStyle w:val="Compact"/>
            </w:pPr>
            <w:r>
              <w:rPr>
                <w:sz w:val="19"/>
              </w:rPr>
              <w:t>Strong scenario planning for US/North American land use.</w:t>
            </w:r>
          </w:p>
        </w:tc>
        <w:tc>
          <w:tcPr>
            <w:tcW w:w="0" w:type="auto"/>
          </w:tcPr>
          <w:p w14:paraId="3D66ABB5" w14:textId="77777777" w:rsidR="00282F15" w:rsidRDefault="00000000">
            <w:pPr>
              <w:pStyle w:val="Compact"/>
            </w:pPr>
            <w:r>
              <w:rPr>
                <w:sz w:val="19"/>
              </w:rPr>
              <w:t>Inapplicable to Indian polycentric agglomerations; lacks granular NCR multimodal transit and air pollution dispersion logic.</w:t>
            </w:r>
          </w:p>
        </w:tc>
      </w:tr>
      <w:tr w:rsidR="00282F15" w14:paraId="11582425" w14:textId="77777777">
        <w:tc>
          <w:tcPr>
            <w:tcW w:w="0" w:type="auto"/>
          </w:tcPr>
          <w:p w14:paraId="7C01ED57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Static EIA / MoEFCC Reports</w:t>
            </w:r>
          </w:p>
        </w:tc>
        <w:tc>
          <w:tcPr>
            <w:tcW w:w="0" w:type="auto"/>
          </w:tcPr>
          <w:p w14:paraId="70FB1445" w14:textId="77777777" w:rsidR="00282F15" w:rsidRDefault="00000000">
            <w:pPr>
              <w:pStyle w:val="Compact"/>
            </w:pPr>
            <w:r>
              <w:rPr>
                <w:sz w:val="19"/>
              </w:rPr>
              <w:t>Government of India</w:t>
            </w:r>
          </w:p>
        </w:tc>
        <w:tc>
          <w:tcPr>
            <w:tcW w:w="0" w:type="auto"/>
          </w:tcPr>
          <w:p w14:paraId="6B458A08" w14:textId="77777777" w:rsidR="00282F15" w:rsidRDefault="00000000">
            <w:pPr>
              <w:pStyle w:val="Compact"/>
            </w:pPr>
            <w:r>
              <w:rPr>
                <w:sz w:val="19"/>
              </w:rPr>
              <w:t>Legally mandated compliance frameworks.</w:t>
            </w:r>
          </w:p>
        </w:tc>
        <w:tc>
          <w:tcPr>
            <w:tcW w:w="0" w:type="auto"/>
          </w:tcPr>
          <w:p w14:paraId="65CD558E" w14:textId="77777777" w:rsidR="00282F15" w:rsidRDefault="00000000">
            <w:pPr>
              <w:pStyle w:val="Compact"/>
            </w:pPr>
            <w:r>
              <w:rPr>
                <w:sz w:val="19"/>
              </w:rPr>
              <w:t>Static documents taking 6–18 months; zero interactive what-if scenario testing; no real-time dynamic trade-off analysis.</w:t>
            </w:r>
          </w:p>
        </w:tc>
      </w:tr>
      <w:tr w:rsidR="00282F15" w14:paraId="12BC45B5" w14:textId="77777777">
        <w:tc>
          <w:tcPr>
            <w:tcW w:w="0" w:type="auto"/>
          </w:tcPr>
          <w:p w14:paraId="7D6F6712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Aimsun / VISSIM</w:t>
            </w:r>
          </w:p>
        </w:tc>
        <w:tc>
          <w:tcPr>
            <w:tcW w:w="0" w:type="auto"/>
          </w:tcPr>
          <w:p w14:paraId="35D21041" w14:textId="77777777" w:rsidR="00282F15" w:rsidRDefault="00000000">
            <w:pPr>
              <w:pStyle w:val="Compact"/>
            </w:pPr>
            <w:r>
              <w:rPr>
                <w:sz w:val="19"/>
              </w:rPr>
              <w:t>TSS / PTV Group</w:t>
            </w:r>
          </w:p>
        </w:tc>
        <w:tc>
          <w:tcPr>
            <w:tcW w:w="0" w:type="auto"/>
          </w:tcPr>
          <w:p w14:paraId="56C66B0C" w14:textId="77777777" w:rsidR="00282F15" w:rsidRDefault="00000000">
            <w:pPr>
              <w:pStyle w:val="Compact"/>
            </w:pPr>
            <w:r>
              <w:rPr>
                <w:sz w:val="19"/>
              </w:rPr>
              <w:t>Microscopic traffic simulation and signal timing.</w:t>
            </w:r>
          </w:p>
        </w:tc>
        <w:tc>
          <w:tcPr>
            <w:tcW w:w="0" w:type="auto"/>
          </w:tcPr>
          <w:p w14:paraId="1505989C" w14:textId="77777777" w:rsidR="00282F15" w:rsidRDefault="00000000">
            <w:pPr>
              <w:pStyle w:val="Compact"/>
            </w:pPr>
            <w:r>
              <w:rPr>
                <w:sz w:val="19"/>
              </w:rPr>
              <w:t>Hyper-focused on vehicular mechanics; ignores coupled effects on water security, air quality plumes, and socioeconomic GVA.</w:t>
            </w:r>
          </w:p>
        </w:tc>
      </w:tr>
    </w:tbl>
    <w:p w14:paraId="5BCAEA99" w14:textId="77777777" w:rsidR="00282F15" w:rsidRDefault="00000000">
      <w:pPr>
        <w:pStyle w:val="Heading3"/>
      </w:pPr>
      <w:bookmarkStart w:id="10" w:name="X1883e8c1b96ee1ebcece882ce3dad9382aab9dd"/>
      <w:bookmarkEnd w:id="9"/>
      <w:r>
        <w:t>3.2 The Research &amp; Technical Gap Addressed by HORIZON AI</w:t>
      </w:r>
    </w:p>
    <w:p w14:paraId="1296D21E" w14:textId="77777777" w:rsidR="00282F15" w:rsidRDefault="00000000">
      <w:pPr>
        <w:pStyle w:val="FirstParagraph"/>
      </w:pPr>
      <w:r>
        <w:t xml:space="preserve">HORIZON AI bridges the gap between </w:t>
      </w:r>
      <w:r>
        <w:rPr>
          <w:b/>
          <w:bCs/>
        </w:rPr>
        <w:t>high-level GIS visualization</w:t>
      </w:r>
      <w:r>
        <w:t xml:space="preserve"> and </w:t>
      </w:r>
      <w:r>
        <w:rPr>
          <w:b/>
          <w:bCs/>
        </w:rPr>
        <w:t>coupled causal simulation</w:t>
      </w:r>
      <w:r>
        <w:t>:</w:t>
      </w:r>
    </w:p>
    <w:p w14:paraId="3F0776E8" w14:textId="77777777" w:rsidR="00282F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Causal Coupling:</w:t>
      </w:r>
      <w:r>
        <w:t xml:space="preserve"> Vehicle trips generated (ITE Delhi-adjusted) immediately feed into road volume-over-capacity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>) ratios, which subsequently drive idle-emission PM2.5/PM10 spikes and localized noise contour buffers.</w:t>
      </w:r>
    </w:p>
    <w:p w14:paraId="1C6969FD" w14:textId="77777777" w:rsidR="00282F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Micro-Baseline Calibration:</w:t>
      </w:r>
      <w:r>
        <w:t xml:space="preserve"> Uses localized Delhi-NCR geospatial coordinates, DDA Master Plan 2041 land-use zones, and CPCB real-time AQI feeds.</w:t>
      </w:r>
    </w:p>
    <w:p w14:paraId="1313E23C" w14:textId="77777777" w:rsidR="00282F1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Counterfactual Scenario Generator:</w:t>
      </w:r>
      <w:r>
        <w:t xml:space="preserve"> Automatically computes optimized scenarios (e.g., Green Transit Oriented Development vs Business as Usual) and generates human-readable policy trade-off explanations.</w:t>
      </w:r>
    </w:p>
    <w:p w14:paraId="7CDACAAB" w14:textId="77777777" w:rsidR="00282F15" w:rsidRDefault="00000000">
      <w:r>
        <w:pict w14:anchorId="06D06118">
          <v:rect id="_x0000_i1029" style="width:0;height:1.5pt" o:hralign="center" o:hrstd="t" o:hr="t"/>
        </w:pict>
      </w:r>
    </w:p>
    <w:p w14:paraId="709E0F22" w14:textId="77777777" w:rsidR="00282F15" w:rsidRDefault="00000000">
      <w:pPr>
        <w:pStyle w:val="Heading2"/>
      </w:pPr>
      <w:bookmarkStart w:id="11" w:name="stakeholder-requirements-analysis"/>
      <w:bookmarkEnd w:id="8"/>
      <w:bookmarkEnd w:id="10"/>
      <w:r>
        <w:t>4. Stakeholder &amp; Requirements Analysis</w:t>
      </w:r>
    </w:p>
    <w:p w14:paraId="7AB785DB" w14:textId="77777777" w:rsidR="00282F15" w:rsidRDefault="00000000">
      <w:pPr>
        <w:pStyle w:val="Heading3"/>
      </w:pPr>
      <w:bookmarkStart w:id="12" w:name="stakeholder-matrix"/>
      <w:r>
        <w:t>4.1 Stakeholder Matrix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798"/>
        <w:gridCol w:w="3558"/>
        <w:gridCol w:w="3220"/>
      </w:tblGrid>
      <w:tr w:rsidR="00282F15" w14:paraId="2BE9098D" w14:textId="77777777" w:rsidTr="0028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6D972229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Stakeholder Persona</w:t>
            </w:r>
          </w:p>
        </w:tc>
        <w:tc>
          <w:tcPr>
            <w:tcW w:w="0" w:type="auto"/>
            <w:shd w:val="clear" w:color="auto" w:fill="E7E6E6"/>
          </w:tcPr>
          <w:p w14:paraId="5A06659F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Key Needs &amp; Pain Points</w:t>
            </w:r>
          </w:p>
        </w:tc>
        <w:tc>
          <w:tcPr>
            <w:tcW w:w="0" w:type="auto"/>
            <w:shd w:val="clear" w:color="auto" w:fill="E7E6E6"/>
          </w:tcPr>
          <w:p w14:paraId="42755FCD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HORIZON AI Feature Mapping</w:t>
            </w:r>
          </w:p>
        </w:tc>
      </w:tr>
      <w:tr w:rsidR="00282F15" w14:paraId="028DD015" w14:textId="77777777">
        <w:tc>
          <w:tcPr>
            <w:tcW w:w="0" w:type="auto"/>
          </w:tcPr>
          <w:p w14:paraId="2620240A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Urban Development Authorities (DDA, NCRPB, GMDA, Noida Authority)</w:t>
            </w:r>
          </w:p>
        </w:tc>
        <w:tc>
          <w:tcPr>
            <w:tcW w:w="0" w:type="auto"/>
          </w:tcPr>
          <w:p w14:paraId="3A1367DA" w14:textId="77777777" w:rsidR="00282F15" w:rsidRDefault="00000000">
            <w:pPr>
              <w:pStyle w:val="Compact"/>
            </w:pPr>
            <w:r>
              <w:rPr>
                <w:sz w:val="19"/>
              </w:rPr>
              <w:t>Need rapid pre-clearance validation against Master Plan 2041 zoning before commissioning expensive consultants.</w:t>
            </w:r>
          </w:p>
        </w:tc>
        <w:tc>
          <w:tcPr>
            <w:tcW w:w="0" w:type="auto"/>
          </w:tcPr>
          <w:p w14:paraId="1583F655" w14:textId="77777777" w:rsidR="00282F15" w:rsidRDefault="00000000">
            <w:pPr>
              <w:pStyle w:val="Compact"/>
            </w:pPr>
            <w:r>
              <w:rPr>
                <w:sz w:val="19"/>
              </w:rPr>
              <w:t>Spatial Baseline Analyzer, Master Plan Zone Compliance Validator, Infrastructure Stress Index (ISS).</w:t>
            </w:r>
          </w:p>
        </w:tc>
      </w:tr>
      <w:tr w:rsidR="00282F15" w14:paraId="60E635C6" w14:textId="77777777">
        <w:tc>
          <w:tcPr>
            <w:tcW w:w="0" w:type="auto"/>
          </w:tcPr>
          <w:p w14:paraId="157467C2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Environmental Protection Boards (CPCB, DPCC)</w:t>
            </w:r>
          </w:p>
        </w:tc>
        <w:tc>
          <w:tcPr>
            <w:tcW w:w="0" w:type="auto"/>
          </w:tcPr>
          <w:p w14:paraId="2DBD44D0" w14:textId="77777777" w:rsidR="00282F15" w:rsidRDefault="00000000">
            <w:pPr>
              <w:pStyle w:val="Compact"/>
            </w:pPr>
            <w:r>
              <w:rPr>
                <w:sz w:val="19"/>
              </w:rPr>
              <w:t>Need granular localized dispersion models for PM2.5 and aquifer depletion.</w:t>
            </w:r>
          </w:p>
        </w:tc>
        <w:tc>
          <w:tcPr>
            <w:tcW w:w="0" w:type="auto"/>
          </w:tcPr>
          <w:p w14:paraId="5105A70B" w14:textId="77777777" w:rsidR="00282F15" w:rsidRDefault="00000000">
            <w:pPr>
              <w:pStyle w:val="Compact"/>
            </w:pPr>
            <w:r>
              <w:rPr>
                <w:sz w:val="19"/>
              </w:rPr>
              <w:t>Multi-tier Radial Buffer Contours (100m, 300m, 500m, 1000m), Aquifer Drawdown Calculator.</w:t>
            </w:r>
          </w:p>
        </w:tc>
      </w:tr>
      <w:tr w:rsidR="00282F15" w14:paraId="74F71526" w14:textId="77777777">
        <w:tc>
          <w:tcPr>
            <w:tcW w:w="0" w:type="auto"/>
          </w:tcPr>
          <w:p w14:paraId="7AA9D287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Real Estate &amp; Infrastructure Developers</w:t>
            </w:r>
          </w:p>
        </w:tc>
        <w:tc>
          <w:tcPr>
            <w:tcW w:w="0" w:type="auto"/>
          </w:tcPr>
          <w:p w14:paraId="5FFE90EF" w14:textId="77777777" w:rsidR="00282F15" w:rsidRDefault="00000000">
            <w:pPr>
              <w:pStyle w:val="Compact"/>
            </w:pPr>
            <w:r>
              <w:rPr>
                <w:sz w:val="19"/>
              </w:rPr>
              <w:t>Want to maximize built-up area while understanding mitigation costs and project viability.</w:t>
            </w:r>
          </w:p>
        </w:tc>
        <w:tc>
          <w:tcPr>
            <w:tcW w:w="0" w:type="auto"/>
          </w:tcPr>
          <w:p w14:paraId="440AFF75" w14:textId="77777777" w:rsidR="00282F15" w:rsidRDefault="00000000">
            <w:pPr>
              <w:pStyle w:val="Compact"/>
            </w:pPr>
            <w:r>
              <w:rPr>
                <w:sz w:val="19"/>
              </w:rPr>
              <w:t>Net Utility Score, Mitigated Scenario Recommender, Economic Job &amp; GVA Output.</w:t>
            </w:r>
          </w:p>
        </w:tc>
      </w:tr>
      <w:tr w:rsidR="00282F15" w14:paraId="7CFE0049" w14:textId="77777777">
        <w:tc>
          <w:tcPr>
            <w:tcW w:w="0" w:type="auto"/>
          </w:tcPr>
          <w:p w14:paraId="45F3575A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Citizen &amp; Resident Welfare Associations (RWAs)</w:t>
            </w:r>
          </w:p>
        </w:tc>
        <w:tc>
          <w:tcPr>
            <w:tcW w:w="0" w:type="auto"/>
          </w:tcPr>
          <w:p w14:paraId="236AFDF9" w14:textId="77777777" w:rsidR="00282F15" w:rsidRDefault="00000000">
            <w:pPr>
              <w:pStyle w:val="Compact"/>
            </w:pPr>
            <w:r>
              <w:rPr>
                <w:sz w:val="19"/>
              </w:rPr>
              <w:t>Require transparency regarding how a proposed commercial complex will affect their water supply and traffic delays.</w:t>
            </w:r>
          </w:p>
        </w:tc>
        <w:tc>
          <w:tcPr>
            <w:tcW w:w="0" w:type="auto"/>
          </w:tcPr>
          <w:p w14:paraId="5A9E10F9" w14:textId="77777777" w:rsidR="00282F15" w:rsidRDefault="00000000">
            <w:pPr>
              <w:pStyle w:val="Compact"/>
            </w:pPr>
            <w:r>
              <w:rPr>
                <w:sz w:val="19"/>
              </w:rPr>
              <w:t>Positive-Negative Impact Ledger, Plain-language AI Explainer, 15-Year Temporal Trajectories.</w:t>
            </w:r>
          </w:p>
        </w:tc>
      </w:tr>
    </w:tbl>
    <w:p w14:paraId="375DFCF0" w14:textId="77777777" w:rsidR="00282F15" w:rsidRDefault="00000000">
      <w:pPr>
        <w:pStyle w:val="Heading3"/>
      </w:pPr>
      <w:bookmarkStart w:id="13" w:name="requirements-specification"/>
      <w:bookmarkEnd w:id="12"/>
      <w:r>
        <w:t>4.2 Requirements Specification</w:t>
      </w:r>
    </w:p>
    <w:p w14:paraId="2BBD45F3" w14:textId="77777777" w:rsidR="00282F15" w:rsidRDefault="00000000">
      <w:pPr>
        <w:pStyle w:val="Heading4"/>
      </w:pPr>
      <w:bookmarkStart w:id="14" w:name="functional-requirements-fr"/>
      <w:r>
        <w:t>Functional Requirements (FR)</w:t>
      </w:r>
    </w:p>
    <w:p w14:paraId="17314F0D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FR-01 (Geospatial Pinpointing):</w:t>
      </w:r>
      <w:r>
        <w:t xml:space="preserve"> The system shall allow users to select any coordinate across Delhi-NCR or pick from predefined planning corridors (e.g., Sector 62 Noida, Dwarka Expressway, Cyber City Gurugram).</w:t>
      </w:r>
    </w:p>
    <w:p w14:paraId="59B25C0B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FR-02 (Development Parameterization):</w:t>
      </w:r>
      <w:r>
        <w:t xml:space="preserve"> The system shall accept development parameters: project type, gross built-up area (sq ft), floors, visitor/occupant capacity, parking spaces, green buffer (hectares), and operating hours.</w:t>
      </w:r>
    </w:p>
    <w:p w14:paraId="2A820649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FR-03 (Baseline Extraction):</w:t>
      </w:r>
      <w:r>
        <w:t xml:space="preserve"> The engine shall automatically retrieve baseline spatial indicators including land use, current AQI, water stress classification, transit proximity, and hospital/school density.</w:t>
      </w:r>
    </w:p>
    <w:p w14:paraId="5937F4C3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FR-04 (Mobility Modeling):</w:t>
      </w:r>
      <w:r>
        <w:t xml:space="preserve"> The system shall compute daily vehicular trip generation, modal split (private vs public transit), peak hour volume, and road capacity degradation.</w:t>
      </w:r>
    </w:p>
    <w:p w14:paraId="52B5B94D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FR-05 (Environmental Modeling):</w:t>
      </w:r>
      <w:r>
        <w:t xml:space="preserve"> The system shall calculate localized PM2.5, PM10,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operational emissions, and multi-tier noise buffers (</w:t>
      </w:r>
      <m:oMath>
        <m:r>
          <w:rPr>
            <w:rFonts w:ascii="Cambria Math" w:hAnsi="Cambria Math"/>
          </w:rPr>
          <m:t>100m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300m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500m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1000m</m:t>
        </m:r>
      </m:oMath>
      <w:r>
        <w:t>).</w:t>
      </w:r>
    </w:p>
    <w:p w14:paraId="20929E5C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FR-06 (Resource Modeling):</w:t>
      </w:r>
      <w:r>
        <w:t xml:space="preserve"> The system shall project daily fresh water consumption (kLD), groundwater stress delta, electrical peak load (MW), and municipal solid waste generation (TPD).</w:t>
      </w:r>
    </w:p>
    <w:p w14:paraId="33D1EBAA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FR-07 (Economic Modeling):</w:t>
      </w:r>
      <w:r>
        <w:t xml:space="preserve"> The system shall estimate direct/indirect employment generation, capital expenditure, and annual Gross Value Added (GVA in ₹ Crores).</w:t>
      </w:r>
    </w:p>
    <w:p w14:paraId="174AB419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FR-08 (Scoring &amp; Aggregation):</w:t>
      </w:r>
      <w:r>
        <w:t xml:space="preserve"> The system shall calculate a normalized </w:t>
      </w:r>
      <w:r>
        <w:rPr>
          <w:b/>
          <w:bCs/>
        </w:rPr>
        <w:t>HORIZON Score (0–100)</w:t>
      </w:r>
      <w:r>
        <w:t xml:space="preserve"> and an </w:t>
      </w:r>
      <w:r>
        <w:rPr>
          <w:b/>
          <w:bCs/>
        </w:rPr>
        <w:t>Infrastructure Stress Index (ISS 0–100)</w:t>
      </w:r>
      <w:r>
        <w:t>.</w:t>
      </w:r>
    </w:p>
    <w:p w14:paraId="27EBE6AB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FR-09 (Temporal Simulation):</w:t>
      </w:r>
      <w:r>
        <w:t xml:space="preserve"> The system shall project 15-year trajectories for traffic, PM2.5, water stress, and net utility across 5 milestone epochs.</w:t>
      </w:r>
    </w:p>
    <w:p w14:paraId="1FFD01D1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FR-10 (Counterfactual Scenarios):</w:t>
      </w:r>
      <w:r>
        <w:t xml:space="preserve"> The system shall synthesize 3 distinct futures: </w:t>
      </w:r>
      <w:r>
        <w:rPr>
          <w:i/>
          <w:iCs/>
        </w:rPr>
        <w:t>Unmitigated Rapid Growth</w:t>
      </w:r>
      <w:r>
        <w:t xml:space="preserve">, </w:t>
      </w:r>
      <w:r>
        <w:rPr>
          <w:i/>
          <w:iCs/>
        </w:rPr>
        <w:t>Current Proposed Path</w:t>
      </w:r>
      <w:r>
        <w:t xml:space="preserve">, and </w:t>
      </w:r>
      <w:r>
        <w:rPr>
          <w:i/>
          <w:iCs/>
        </w:rPr>
        <w:t>Optimized Eco-Transit Scenario</w:t>
      </w:r>
      <w:r>
        <w:t>.</w:t>
      </w:r>
    </w:p>
    <w:p w14:paraId="483B84A5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FR-11 (AI Synthesizer &amp; Explainer):</w:t>
      </w:r>
      <w:r>
        <w:t xml:space="preserve"> The system shall produce plain-language executive summaries of trade-offs, explicit sacrifices, and policy mitigations.</w:t>
      </w:r>
    </w:p>
    <w:p w14:paraId="2E5C7FFD" w14:textId="77777777" w:rsidR="00282F1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FR-12 (Interactive Dashboard):</w:t>
      </w:r>
      <w:r>
        <w:t xml:space="preserve"> The frontend shall present an interactive GIS map, dual positive/negative impact ledger, radar dimension charts, and temporal sliders.</w:t>
      </w:r>
    </w:p>
    <w:p w14:paraId="2DA6E2C8" w14:textId="77777777" w:rsidR="00282F15" w:rsidRDefault="00000000">
      <w:pPr>
        <w:pStyle w:val="Heading4"/>
      </w:pPr>
      <w:bookmarkStart w:id="15" w:name="non-functional-requirements-nfr"/>
      <w:bookmarkEnd w:id="14"/>
      <w:r>
        <w:t>Non-Functional Requirements (NFR)</w:t>
      </w:r>
    </w:p>
    <w:p w14:paraId="7656CC46" w14:textId="77777777" w:rsidR="00282F1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NFR-01 (Performance &amp; Latency):</w:t>
      </w:r>
      <w:r>
        <w:t xml:space="preserve"> Full multi-engine causal simulation shall execute and return API payload within </w:t>
      </w:r>
      <w:r>
        <w:rPr>
          <w:b/>
          <w:bCs/>
        </w:rPr>
        <w:t>500 ms</w:t>
      </w:r>
      <w:r>
        <w:t>.</w:t>
      </w:r>
    </w:p>
    <w:p w14:paraId="7AE78D6A" w14:textId="77777777" w:rsidR="00282F1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NFR-02 (Modularity &amp; Extensibility):</w:t>
      </w:r>
      <w:r>
        <w:t xml:space="preserve"> Backend services shall be decoupled into independent domain engines (spatial, mobility, pollution, resource, economic, scenario).</w:t>
      </w:r>
    </w:p>
    <w:p w14:paraId="2029229B" w14:textId="77777777" w:rsidR="00282F1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NFR-03 (Data Integrity &amp; Reproducibility):</w:t>
      </w:r>
      <w:r>
        <w:t xml:space="preserve"> Deterministic models shall yield identical outputs given identical inputs and coordinates.</w:t>
      </w:r>
    </w:p>
    <w:p w14:paraId="65215AF7" w14:textId="77777777" w:rsidR="00282F1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NFR-04 (Usability &amp; Responsiveness):</w:t>
      </w:r>
      <w:r>
        <w:t xml:space="preserve"> Dashboard interface shall render seamlessly across modern desktop browsers with zero-jank map zooming and panning.</w:t>
      </w:r>
    </w:p>
    <w:p w14:paraId="4BAB9A95" w14:textId="77777777" w:rsidR="00282F1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NFR-05 (Security &amp; Safety):</w:t>
      </w:r>
      <w:r>
        <w:t xml:space="preserve"> Input validation on all numerical parameters preventing boundary overflow or code injection.</w:t>
      </w:r>
    </w:p>
    <w:p w14:paraId="115632B4" w14:textId="77777777" w:rsidR="00282F15" w:rsidRDefault="00000000">
      <w:r>
        <w:pict w14:anchorId="03298DB2">
          <v:rect id="_x0000_i1030" style="width:0;height:1.5pt" o:hralign="center" o:hrstd="t" o:hr="t"/>
        </w:pict>
      </w:r>
    </w:p>
    <w:p w14:paraId="32E3DE6F" w14:textId="77777777" w:rsidR="00282F15" w:rsidRDefault="00000000">
      <w:pPr>
        <w:pStyle w:val="Heading2"/>
      </w:pPr>
      <w:bookmarkStart w:id="16" w:name="feasibility-study-risk-mitigation-matrix"/>
      <w:bookmarkEnd w:id="11"/>
      <w:bookmarkEnd w:id="13"/>
      <w:bookmarkEnd w:id="15"/>
      <w:r>
        <w:t>5. Feasibility Study &amp; Risk Mitigation Matrix</w:t>
      </w:r>
    </w:p>
    <w:p w14:paraId="6AD92742" w14:textId="77777777" w:rsidR="00282F15" w:rsidRDefault="00000000">
      <w:pPr>
        <w:pStyle w:val="Heading3"/>
      </w:pPr>
      <w:bookmarkStart w:id="17" w:name="feasibility-assessment"/>
      <w:r>
        <w:t>5.1 Feasibility Assessment</w:t>
      </w:r>
    </w:p>
    <w:p w14:paraId="27C3EE23" w14:textId="77777777" w:rsidR="00282F1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Technical Feasibility:</w:t>
      </w:r>
      <w:r>
        <w:t xml:space="preserve"> Highly viable. Backend implemented in Python (FastAPI, NumPy, Pydantic) for high-performance vectorized calculations. Frontend built with Next.js 14, React Leaflet / Mapbox GL, and Tailwind CSS.</w:t>
      </w:r>
    </w:p>
    <w:p w14:paraId="22938291" w14:textId="77777777" w:rsidR="00282F1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Economic Feasibility:</w:t>
      </w:r>
      <w:r>
        <w:t xml:space="preserve"> The core system leverages open-access geospatial datasets (OpenStreetMap, DDA Master Plan 2041 reports, CPCB Sameer open portal) and open-source libraries, ensuring zero licensing overhead.</w:t>
      </w:r>
    </w:p>
    <w:p w14:paraId="1004C3F4" w14:textId="77777777" w:rsidR="00282F1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Operational Feasibility:</w:t>
      </w:r>
      <w:r>
        <w:t xml:space="preserve"> Municipal and urban planning bodies can integrate the API into existing pre-clearance workflows or use the standalone web dashboard.</w:t>
      </w:r>
    </w:p>
    <w:p w14:paraId="21DE21DD" w14:textId="77777777" w:rsidR="00282F1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Legal &amp; Ethical Feasibility:</w:t>
      </w:r>
      <w:r>
        <w:t xml:space="preserve"> Complies with open data access norms. AI explainers operate with deterministic guardrails to prevent ungrounded hallucinations in statutory planning contexts.</w:t>
      </w:r>
    </w:p>
    <w:p w14:paraId="61C5D3EE" w14:textId="77777777" w:rsidR="00282F15" w:rsidRDefault="00000000">
      <w:pPr>
        <w:pStyle w:val="Heading3"/>
      </w:pPr>
      <w:bookmarkStart w:id="18" w:name="risk-analysis-and-mitigation-strategy"/>
      <w:bookmarkEnd w:id="17"/>
      <w:r>
        <w:t>5.2 Risk Analysis and Mitigation Strategy</w:t>
      </w:r>
    </w:p>
    <w:tbl>
      <w:tblPr>
        <w:tblStyle w:val="Table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664"/>
        <w:gridCol w:w="3129"/>
        <w:gridCol w:w="881"/>
        <w:gridCol w:w="1093"/>
        <w:gridCol w:w="3809"/>
      </w:tblGrid>
      <w:tr w:rsidR="00282F15" w14:paraId="60E87E3E" w14:textId="77777777" w:rsidTr="0028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7E6E6"/>
          </w:tcPr>
          <w:p w14:paraId="7D603796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Risk ID</w:t>
            </w:r>
          </w:p>
        </w:tc>
        <w:tc>
          <w:tcPr>
            <w:tcW w:w="0" w:type="auto"/>
            <w:shd w:val="clear" w:color="auto" w:fill="E7E6E6"/>
          </w:tcPr>
          <w:p w14:paraId="6F41656F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Identified Risk</w:t>
            </w:r>
          </w:p>
        </w:tc>
        <w:tc>
          <w:tcPr>
            <w:tcW w:w="0" w:type="auto"/>
            <w:shd w:val="clear" w:color="auto" w:fill="E7E6E6"/>
          </w:tcPr>
          <w:p w14:paraId="3ADD3B8D" w14:textId="77777777" w:rsidR="00282F15" w:rsidRDefault="00000000">
            <w:pPr>
              <w:pStyle w:val="Compact"/>
              <w:jc w:val="center"/>
            </w:pPr>
            <w:r>
              <w:rPr>
                <w:b/>
                <w:sz w:val="19"/>
              </w:rPr>
              <w:t>Severity</w:t>
            </w:r>
          </w:p>
        </w:tc>
        <w:tc>
          <w:tcPr>
            <w:tcW w:w="0" w:type="auto"/>
            <w:shd w:val="clear" w:color="auto" w:fill="E7E6E6"/>
          </w:tcPr>
          <w:p w14:paraId="54425D2C" w14:textId="77777777" w:rsidR="00282F15" w:rsidRDefault="00000000">
            <w:pPr>
              <w:pStyle w:val="Compact"/>
              <w:jc w:val="center"/>
            </w:pPr>
            <w:r>
              <w:rPr>
                <w:b/>
                <w:sz w:val="19"/>
              </w:rPr>
              <w:t>Likelihood</w:t>
            </w:r>
          </w:p>
        </w:tc>
        <w:tc>
          <w:tcPr>
            <w:tcW w:w="0" w:type="auto"/>
            <w:shd w:val="clear" w:color="auto" w:fill="E7E6E6"/>
          </w:tcPr>
          <w:p w14:paraId="10FD4FBB" w14:textId="77777777" w:rsidR="00282F15" w:rsidRDefault="00000000">
            <w:pPr>
              <w:pStyle w:val="Compact"/>
            </w:pPr>
            <w:r>
              <w:rPr>
                <w:b/>
                <w:sz w:val="19"/>
              </w:rPr>
              <w:t>Mitigation Strategy</w:t>
            </w:r>
          </w:p>
        </w:tc>
      </w:tr>
      <w:tr w:rsidR="00282F15" w14:paraId="42FF670B" w14:textId="77777777">
        <w:tc>
          <w:tcPr>
            <w:tcW w:w="0" w:type="auto"/>
          </w:tcPr>
          <w:p w14:paraId="523FEB09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R-01</w:t>
            </w:r>
          </w:p>
        </w:tc>
        <w:tc>
          <w:tcPr>
            <w:tcW w:w="0" w:type="auto"/>
          </w:tcPr>
          <w:p w14:paraId="7928A24A" w14:textId="77777777" w:rsidR="00282F15" w:rsidRDefault="00000000">
            <w:pPr>
              <w:pStyle w:val="Compact"/>
            </w:pPr>
            <w:r>
              <w:rPr>
                <w:sz w:val="19"/>
              </w:rPr>
              <w:t>High latency or downtime of external live APIs (e.g. CPCB live AQI).</w:t>
            </w:r>
          </w:p>
        </w:tc>
        <w:tc>
          <w:tcPr>
            <w:tcW w:w="0" w:type="auto"/>
          </w:tcPr>
          <w:p w14:paraId="26E6F1E9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0" w:type="auto"/>
          </w:tcPr>
          <w:p w14:paraId="04DB4965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0" w:type="auto"/>
          </w:tcPr>
          <w:p w14:paraId="6B9B61AF" w14:textId="77777777" w:rsidR="00282F15" w:rsidRDefault="00000000">
            <w:pPr>
              <w:pStyle w:val="Compact"/>
            </w:pPr>
            <w:r>
              <w:rPr>
                <w:sz w:val="19"/>
              </w:rPr>
              <w:t>Implement a localized cached baseline registry for all 10 NCR planning zones with graceful fallback.</w:t>
            </w:r>
          </w:p>
        </w:tc>
      </w:tr>
      <w:tr w:rsidR="00282F15" w14:paraId="620AF426" w14:textId="77777777">
        <w:tc>
          <w:tcPr>
            <w:tcW w:w="0" w:type="auto"/>
          </w:tcPr>
          <w:p w14:paraId="5B20DD32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R-02</w:t>
            </w:r>
          </w:p>
        </w:tc>
        <w:tc>
          <w:tcPr>
            <w:tcW w:w="0" w:type="auto"/>
          </w:tcPr>
          <w:p w14:paraId="16D2BCF4" w14:textId="77777777" w:rsidR="00282F15" w:rsidRDefault="00000000">
            <w:pPr>
              <w:pStyle w:val="Compact"/>
            </w:pPr>
            <w:r>
              <w:rPr>
                <w:sz w:val="19"/>
              </w:rPr>
              <w:t>Over-simplification of micro-meteorological atmospheric dispersion.</w:t>
            </w:r>
          </w:p>
        </w:tc>
        <w:tc>
          <w:tcPr>
            <w:tcW w:w="0" w:type="auto"/>
          </w:tcPr>
          <w:p w14:paraId="2DA7A4CC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0" w:type="auto"/>
          </w:tcPr>
          <w:p w14:paraId="1369FCE1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0" w:type="auto"/>
          </w:tcPr>
          <w:p w14:paraId="64170440" w14:textId="77777777" w:rsidR="00282F15" w:rsidRDefault="00000000">
            <w:pPr>
              <w:pStyle w:val="Compact"/>
            </w:pPr>
            <w:r>
              <w:rPr>
                <w:sz w:val="19"/>
              </w:rPr>
              <w:t>Calibrate radial buffer decay rates using standard empirical Gaussian plume dispersion factors for urban Delhi.</w:t>
            </w:r>
          </w:p>
        </w:tc>
      </w:tr>
      <w:tr w:rsidR="00282F15" w14:paraId="1543F68A" w14:textId="77777777">
        <w:tc>
          <w:tcPr>
            <w:tcW w:w="0" w:type="auto"/>
          </w:tcPr>
          <w:p w14:paraId="59453B08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R-03</w:t>
            </w:r>
          </w:p>
        </w:tc>
        <w:tc>
          <w:tcPr>
            <w:tcW w:w="0" w:type="auto"/>
          </w:tcPr>
          <w:p w14:paraId="4FF68AF4" w14:textId="77777777" w:rsidR="00282F15" w:rsidRDefault="00000000">
            <w:pPr>
              <w:pStyle w:val="Compact"/>
            </w:pPr>
            <w:r>
              <w:rPr>
                <w:sz w:val="19"/>
              </w:rPr>
              <w:t>Hallucination in LLM-generated impact summaries.</w:t>
            </w:r>
          </w:p>
        </w:tc>
        <w:tc>
          <w:tcPr>
            <w:tcW w:w="0" w:type="auto"/>
          </w:tcPr>
          <w:p w14:paraId="403DA5CE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0" w:type="auto"/>
          </w:tcPr>
          <w:p w14:paraId="180EB0A5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0" w:type="auto"/>
          </w:tcPr>
          <w:p w14:paraId="069B777F" w14:textId="77777777" w:rsidR="00282F15" w:rsidRDefault="00000000">
            <w:pPr>
              <w:pStyle w:val="Compact"/>
            </w:pPr>
            <w:r>
              <w:rPr>
                <w:sz w:val="19"/>
              </w:rPr>
              <w:t>Utilize a structured template-driven deterministic synthesis engine with verified factual injection bounds.</w:t>
            </w:r>
          </w:p>
        </w:tc>
      </w:tr>
      <w:tr w:rsidR="00282F15" w14:paraId="3857AD2A" w14:textId="77777777">
        <w:tc>
          <w:tcPr>
            <w:tcW w:w="0" w:type="auto"/>
          </w:tcPr>
          <w:p w14:paraId="6B55D6D6" w14:textId="77777777" w:rsidR="00282F15" w:rsidRDefault="00000000">
            <w:pPr>
              <w:pStyle w:val="Compact"/>
            </w:pPr>
            <w:r>
              <w:rPr>
                <w:b/>
                <w:bCs/>
                <w:sz w:val="19"/>
              </w:rPr>
              <w:t>R-04</w:t>
            </w:r>
          </w:p>
        </w:tc>
        <w:tc>
          <w:tcPr>
            <w:tcW w:w="0" w:type="auto"/>
          </w:tcPr>
          <w:p w14:paraId="571FAD40" w14:textId="77777777" w:rsidR="00282F15" w:rsidRDefault="00000000">
            <w:pPr>
              <w:pStyle w:val="Compact"/>
            </w:pPr>
            <w:r>
              <w:rPr>
                <w:sz w:val="19"/>
              </w:rPr>
              <w:t>Discrepancies in trip generation rates between US ITE standards and Indian road conditions.</w:t>
            </w:r>
          </w:p>
        </w:tc>
        <w:tc>
          <w:tcPr>
            <w:tcW w:w="0" w:type="auto"/>
          </w:tcPr>
          <w:p w14:paraId="75466476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0" w:type="auto"/>
          </w:tcPr>
          <w:p w14:paraId="2888F882" w14:textId="77777777" w:rsidR="00282F15" w:rsidRDefault="00000000">
            <w:pPr>
              <w:pStyle w:val="Compact"/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0" w:type="auto"/>
          </w:tcPr>
          <w:p w14:paraId="29B24D99" w14:textId="77777777" w:rsidR="00282F15" w:rsidRDefault="00000000">
            <w:pPr>
              <w:pStyle w:val="Compact"/>
            </w:pPr>
            <w:r>
              <w:rPr>
                <w:sz w:val="19"/>
              </w:rPr>
              <w:t>Apply Delhi-specific vehicle occupancy multipliers and Indian modal split coefficients (two-wheelers, auto-rickshaws, metro).</w:t>
            </w:r>
          </w:p>
        </w:tc>
      </w:tr>
    </w:tbl>
    <w:p w14:paraId="169B0225" w14:textId="77777777" w:rsidR="00282F15" w:rsidRDefault="00000000">
      <w:r>
        <w:pict w14:anchorId="6C2D8D13">
          <v:rect id="_x0000_i1031" style="width:0;height:1.5pt" o:hralign="center" o:hrstd="t" o:hr="t"/>
        </w:pict>
      </w:r>
    </w:p>
    <w:p w14:paraId="53AE0FC5" w14:textId="77777777" w:rsidR="00282F15" w:rsidRDefault="00000000">
      <w:pPr>
        <w:pStyle w:val="Heading2"/>
      </w:pPr>
      <w:bookmarkStart w:id="19" w:name="Xad8975979bcfe83101466e79bfb3b80a760c893"/>
      <w:bookmarkEnd w:id="16"/>
      <w:bookmarkEnd w:id="18"/>
      <w:r>
        <w:t>6. Proposed Methodology &amp; Mathematical Formulations</w:t>
      </w:r>
    </w:p>
    <w:p w14:paraId="579FD999" w14:textId="77777777" w:rsidR="00282F15" w:rsidRDefault="00000000">
      <w:pPr>
        <w:pStyle w:val="Heading3"/>
      </w:pPr>
      <w:bookmarkStart w:id="20" w:name="mobility-causal-formulation"/>
      <w:r>
        <w:t>6.1 Mobility Causal Formulation</w:t>
      </w:r>
    </w:p>
    <w:p w14:paraId="2A6BA50A" w14:textId="77777777" w:rsidR="00282F15" w:rsidRDefault="00000000">
      <w:pPr>
        <w:pStyle w:val="FirstParagraph"/>
      </w:pPr>
      <w:r>
        <w:t>Trip generation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daily</m:t>
            </m:r>
          </m:sub>
        </m:sSub>
      </m:oMath>
      <w:r>
        <w:t>) is computed as a function of built-up area (</w:t>
      </w:r>
      <m:oMath>
        <m:r>
          <w:rPr>
            <w:rFonts w:ascii="Cambria Math" w:hAnsi="Cambria Math"/>
          </w:rPr>
          <m:t>A</m:t>
        </m:r>
      </m:oMath>
      <w:r>
        <w:t>), project typology (</w:t>
      </w:r>
      <m:oMath>
        <m:r>
          <w:rPr>
            <w:rFonts w:ascii="Cambria Math" w:hAnsi="Cambria Math"/>
          </w:rPr>
          <m:t>τ</m:t>
        </m:r>
      </m:oMath>
      <w:r>
        <w:t>), and visitor capacity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daily</m:t>
            </m:r>
          </m:sub>
        </m:sSub>
      </m:oMath>
      <w:r>
        <w:t>):</w:t>
      </w:r>
    </w:p>
    <w:p w14:paraId="7EA73E08" w14:textId="77777777" w:rsidR="00282F1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daily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floor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daily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</m:oMath>
      </m:oMathPara>
    </w:p>
    <w:p w14:paraId="7103AB18" w14:textId="77777777" w:rsidR="00282F15" w:rsidRDefault="00000000">
      <w:pPr>
        <w:pStyle w:val="FirstParagraph"/>
      </w:pPr>
      <w:r>
        <w:t>Peak hour trips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</m:oMath>
      <w:r>
        <w:t>) and road volume-over-capacity ratio 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C</m:t>
        </m:r>
      </m:oMath>
      <w:r>
        <w:t>) update as:</w:t>
      </w:r>
    </w:p>
    <w:p w14:paraId="34C7B107" w14:textId="77777777" w:rsidR="00282F1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baseline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peak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transit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Capacit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road</m:t>
                  </m:r>
                </m:sub>
              </m:sSub>
            </m:den>
          </m:f>
        </m:oMath>
      </m:oMathPara>
    </w:p>
    <w:p w14:paraId="6BDF3660" w14:textId="77777777" w:rsidR="00282F15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transit</m:t>
            </m:r>
          </m:sub>
        </m:sSub>
      </m:oMath>
      <w:r>
        <w:t xml:space="preserve"> is the transit-oriented modal split penalty factor derived from distance to nearest Metro station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metro</m:t>
            </m:r>
          </m:sub>
        </m:sSub>
      </m:oMath>
      <w:r>
        <w:t>).</w:t>
      </w:r>
    </w:p>
    <w:p w14:paraId="6D360319" w14:textId="77777777" w:rsidR="00282F15" w:rsidRDefault="00000000">
      <w:pPr>
        <w:pStyle w:val="Heading3"/>
      </w:pPr>
      <w:bookmarkStart w:id="21" w:name="pollution-radial-buffer-formulation"/>
      <w:bookmarkEnd w:id="20"/>
      <w:r>
        <w:t>6.2 Pollution &amp; Radial Buffer Formulation</w:t>
      </w:r>
    </w:p>
    <w:p w14:paraId="4C21CA98" w14:textId="77777777" w:rsidR="00282F15" w:rsidRDefault="00000000">
      <w:pPr>
        <w:pStyle w:val="FirstParagraph"/>
      </w:pPr>
      <w:r>
        <w:t xml:space="preserve">Localized incremental PM2.5 at radial distance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meters is modeled using empirical distance-decay dispersion:</w:t>
      </w:r>
    </w:p>
    <w:p w14:paraId="47661471" w14:textId="77777777" w:rsidR="00282F15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ΔPM2.5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traffic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veh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operational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322B0A1E" w14:textId="77777777" w:rsidR="00282F15" w:rsidRDefault="00000000">
      <w:pPr>
        <w:pStyle w:val="Heading3"/>
      </w:pPr>
      <w:bookmarkStart w:id="22" w:name="resource-depletion-formulation"/>
      <w:bookmarkEnd w:id="21"/>
      <w:r>
        <w:t>6.3 Resource Depletion Formulation</w:t>
      </w:r>
    </w:p>
    <w:p w14:paraId="382FFD49" w14:textId="77777777" w:rsidR="00282F15" w:rsidRDefault="00000000">
      <w:pPr>
        <w:pStyle w:val="FirstParagraph"/>
      </w:pPr>
      <w:r>
        <w:t>Daily freshwater demand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water</m:t>
            </m:r>
          </m:sub>
        </m:sSub>
      </m:oMath>
      <w:r>
        <w:t>) in kilo-litres per day (kLD):</w:t>
      </w:r>
    </w:p>
    <w:p w14:paraId="2414B1F0" w14:textId="77777777" w:rsidR="00282F15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daily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per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capita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48FB048D" w14:textId="77777777" w:rsidR="00282F15" w:rsidRDefault="00000000">
      <w:pPr>
        <w:pStyle w:val="FirstParagraph"/>
      </w:pPr>
      <w:r>
        <w:t xml:space="preserve">Groundwater drawdown risk is categorized as Critical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water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150</m:t>
        </m:r>
        <m:r>
          <m:rPr>
            <m:nor/>
          </m:rPr>
          <m:t xml:space="preserve"> kLD</m:t>
        </m:r>
      </m:oMath>
      <w:r>
        <w:t xml:space="preserve"> and baseline water stress is “Critical”.</w:t>
      </w:r>
    </w:p>
    <w:p w14:paraId="60EA702F" w14:textId="77777777" w:rsidR="00282F15" w:rsidRDefault="00000000">
      <w:pPr>
        <w:pStyle w:val="Heading3"/>
      </w:pPr>
      <w:bookmarkStart w:id="23" w:name="X50110db0983a615007d2f9061be1f4e5fb63d00"/>
      <w:bookmarkEnd w:id="22"/>
      <w:r>
        <w:t>6.4 HORIZON Score &amp; Infrastructure Stress Index (ISS)</w:t>
      </w:r>
    </w:p>
    <w:p w14:paraId="1CDEA88C" w14:textId="77777777" w:rsidR="00282F15" w:rsidRDefault="00000000">
      <w:pPr>
        <w:pStyle w:val="FirstParagraph"/>
      </w:pPr>
      <w:r>
        <w:t xml:space="preserve">The composite </w:t>
      </w:r>
      <w:r>
        <w:rPr>
          <w:b/>
          <w:bCs/>
        </w:rPr>
        <w:t>HORIZON Score</w:t>
      </w:r>
      <w:r>
        <w:t xml:space="preserve"> evaluates net positive societal utility against environmental cost:</w:t>
      </w:r>
    </w:p>
    <w:p w14:paraId="24F4C4CC" w14:textId="77777777" w:rsidR="00282F15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HORIZON Score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0.40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positive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negative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zoning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penalty</m:t>
              </m:r>
            </m:sub>
          </m:sSub>
        </m:oMath>
      </m:oMathPara>
    </w:p>
    <w:p w14:paraId="5D2E99F4" w14:textId="77777777" w:rsidR="00282F15" w:rsidRDefault="00000000">
      <w:pPr>
        <w:pStyle w:val="FirstParagraph"/>
      </w:pPr>
      <w:r>
        <w:t xml:space="preserve">The </w:t>
      </w:r>
      <w:r>
        <w:rPr>
          <w:b/>
          <w:bCs/>
        </w:rPr>
        <w:t>Infrastructure Stress Index (ISS)</w:t>
      </w:r>
      <w:r>
        <w:t xml:space="preserve"> balances peak load against local grid and transport headroom:</w:t>
      </w:r>
    </w:p>
    <w:p w14:paraId="5FD5094B" w14:textId="77777777" w:rsidR="00282F15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ISS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Stres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mobility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Stres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pollution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Stres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Stres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power</m:t>
              </m:r>
            </m:sub>
          </m:sSub>
        </m:oMath>
      </m:oMathPara>
    </w:p>
    <w:p w14:paraId="0AD2726B" w14:textId="77777777" w:rsidR="00282F15" w:rsidRDefault="00000000">
      <w:r>
        <w:pict w14:anchorId="2A8A0093">
          <v:rect id="_x0000_i1032" style="width:0;height:1.5pt" o:hralign="center" o:hrstd="t" o:hr="t"/>
        </w:pict>
      </w:r>
    </w:p>
    <w:p w14:paraId="467C2320" w14:textId="77777777" w:rsidR="00282F15" w:rsidRDefault="00000000">
      <w:pPr>
        <w:pStyle w:val="Heading2"/>
      </w:pPr>
      <w:bookmarkStart w:id="24" w:name="Xb81fa0aaf5498ded800c480eb33f893b88a175f"/>
      <w:bookmarkEnd w:id="19"/>
      <w:bookmarkEnd w:id="23"/>
      <w:r>
        <w:t>7. Expected Deliverables &amp; Milestones Schedule</w:t>
      </w:r>
    </w:p>
    <w:p w14:paraId="235C5B91" w14:textId="77777777" w:rsidR="00282F15" w:rsidRDefault="00000000">
      <w:pPr>
        <w:pStyle w:val="FirstParagraph"/>
      </w:pPr>
      <w:r>
        <w:rPr>
          <w:noProof/>
        </w:rPr>
        <w:drawing>
          <wp:inline distT="0" distB="0" distL="0" distR="0" wp14:anchorId="0B44DCC0" wp14:editId="2B6E7ADC">
            <wp:extent cx="5521037" cy="198628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m1_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52" cy="199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90A9E" w14:textId="10843402" w:rsidR="00282F15" w:rsidRDefault="00000000" w:rsidP="00310D88">
      <w:r>
        <w:pict w14:anchorId="73F55B1C">
          <v:rect id="_x0000_i1033" style="width:0;height:1.5pt" o:hralign="center" o:hrstd="t" o:hr="t"/>
        </w:pict>
      </w:r>
      <w:bookmarkEnd w:id="0"/>
      <w:bookmarkEnd w:id="24"/>
    </w:p>
    <w:sectPr w:rsidR="00282F1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E3B9" w14:textId="77777777" w:rsidR="00283851" w:rsidRDefault="00283851">
      <w:pPr>
        <w:spacing w:after="0"/>
      </w:pPr>
      <w:r>
        <w:separator/>
      </w:r>
    </w:p>
  </w:endnote>
  <w:endnote w:type="continuationSeparator" w:id="0">
    <w:p w14:paraId="70AB4024" w14:textId="77777777" w:rsidR="00283851" w:rsidRDefault="002838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0D0AA" w14:textId="77777777" w:rsidR="00283851" w:rsidRDefault="00283851">
      <w:r>
        <w:separator/>
      </w:r>
    </w:p>
  </w:footnote>
  <w:footnote w:type="continuationSeparator" w:id="0">
    <w:p w14:paraId="05C52BDB" w14:textId="77777777" w:rsidR="00283851" w:rsidRDefault="002838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D000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06DC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01C1EB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61177822">
    <w:abstractNumId w:val="0"/>
  </w:num>
  <w:num w:numId="2" w16cid:durableId="1319266646">
    <w:abstractNumId w:val="1"/>
  </w:num>
  <w:num w:numId="3" w16cid:durableId="68117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1405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6094309">
    <w:abstractNumId w:val="1"/>
  </w:num>
  <w:num w:numId="6" w16cid:durableId="3754451">
    <w:abstractNumId w:val="1"/>
  </w:num>
  <w:num w:numId="7" w16cid:durableId="1209956245">
    <w:abstractNumId w:val="1"/>
  </w:num>
  <w:num w:numId="8" w16cid:durableId="10905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F15"/>
    <w:rsid w:val="00027804"/>
    <w:rsid w:val="00282F15"/>
    <w:rsid w:val="00283851"/>
    <w:rsid w:val="0031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FF86"/>
  <w15:docId w15:val="{CEBF035B-CC3C-4571-9AF2-A4E8BFAF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000000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iCs/>
      <w:color w:val="000000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color w:val="000000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color w:val="000000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color w:val="000000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1816</Words>
  <Characters>10354</Characters>
  <Application>Microsoft Office Word</Application>
  <DocSecurity>0</DocSecurity>
  <Lines>86</Lines>
  <Paragraphs>24</Paragraphs>
  <ScaleCrop>false</ScaleCrop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ACHAL SINGH  SHEKHAWAT</cp:lastModifiedBy>
  <cp:revision>2</cp:revision>
  <dcterms:created xsi:type="dcterms:W3CDTF">2026-10-06T07:50:00Z</dcterms:created>
  <dcterms:modified xsi:type="dcterms:W3CDTF">2026-10-06T07:56:00Z</dcterms:modified>
</cp:coreProperties>
</file>