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2E84" w14:textId="77777777" w:rsidR="003D4862" w:rsidRDefault="00000000">
      <w:pPr>
        <w:pStyle w:val="Heading1"/>
      </w:pPr>
      <w:bookmarkStart w:id="0" w:name="Xed33cc166a81e46a85896c37469e0ff1ef56a51"/>
      <w:r>
        <w:t>CSET400C Capstone Project - Milestone-2 Report</w:t>
      </w:r>
    </w:p>
    <w:p w14:paraId="0193340E" w14:textId="77777777" w:rsidR="003D4862" w:rsidRDefault="00000000">
      <w:pPr>
        <w:pStyle w:val="FirstParagraph"/>
      </w:pPr>
      <w:r>
        <w:rPr>
          <w:b/>
          <w:bCs/>
        </w:rPr>
        <w:t>Bennett University | School of Computer Science Engineering and Technology</w:t>
      </w:r>
      <w:r>
        <w:br/>
      </w:r>
      <w:r>
        <w:rPr>
          <w:b/>
          <w:bCs/>
        </w:rPr>
        <w:t>Course Code:</w:t>
      </w:r>
      <w:r>
        <w:t xml:space="preserve"> CSET400C (0-0-12-6) | </w:t>
      </w:r>
      <w:r>
        <w:rPr>
          <w:b/>
          <w:bCs/>
        </w:rPr>
        <w:t>Academic Session:</w:t>
      </w:r>
      <w:r>
        <w:t xml:space="preserve"> 2026–27</w:t>
      </w:r>
      <w:r>
        <w:br/>
      </w:r>
      <w:r>
        <w:rPr>
          <w:b/>
          <w:bCs/>
        </w:rPr>
        <w:t>Course Coordinator:</w:t>
      </w:r>
      <w:r>
        <w:t xml:space="preserve"> Dr. Jabir Ali</w:t>
      </w:r>
      <w:r>
        <w:br/>
      </w:r>
      <w:r>
        <w:rPr>
          <w:b/>
          <w:bCs/>
        </w:rPr>
        <w:t>Deadline:</w:t>
      </w:r>
      <w:r>
        <w:t xml:space="preserve"> 23 / 30 November 2026 | </w:t>
      </w:r>
      <w:r>
        <w:rPr>
          <w:b/>
          <w:bCs/>
        </w:rPr>
        <w:t>Total Marks:</w:t>
      </w:r>
      <w:r>
        <w:t xml:space="preserve"> 30</w:t>
      </w:r>
    </w:p>
    <w:p w14:paraId="0740B61C" w14:textId="77777777" w:rsidR="003D4862" w:rsidRDefault="00000000">
      <w:r>
        <w:pict w14:anchorId="0D98BE46">
          <v:rect id="_x0000_i1025" style="width:0;height:1.5pt" o:hralign="center" o:hrstd="t" o:hr="t"/>
        </w:pict>
      </w:r>
    </w:p>
    <w:p w14:paraId="58970C6A" w14:textId="77777777" w:rsidR="003D4862" w:rsidRDefault="00000000">
      <w:pPr>
        <w:pStyle w:val="Heading2"/>
      </w:pPr>
      <w:bookmarkStart w:id="1" w:name="project-title-horizon-ai"/>
      <w:r>
        <w:t>Project Title: HORIZON AI</w:t>
      </w:r>
    </w:p>
    <w:p w14:paraId="35C42559" w14:textId="77777777" w:rsidR="003D4862" w:rsidRDefault="00000000">
      <w:pPr>
        <w:pStyle w:val="Heading3"/>
      </w:pPr>
      <w:bookmarkStart w:id="2" w:name="X017ae66539e48efb1e7b0f694030af9981a725c"/>
      <w:r>
        <w:t>Autonomous Multi-Dimensional Urban Impact Assessment &amp; Future Simulation Engine for Delhi-NCR</w:t>
      </w:r>
    </w:p>
    <w:p w14:paraId="40D9999B" w14:textId="77777777" w:rsidR="003D4862" w:rsidRDefault="00000000">
      <w:r>
        <w:pict w14:anchorId="37C836E8">
          <v:rect id="_x0000_i1026" style="width:0;height:1.5pt" o:hralign="center" o:hrstd="t" o:hr="t"/>
        </w:pict>
      </w:r>
    </w:p>
    <w:p w14:paraId="76E693B7" w14:textId="77777777" w:rsidR="003D4862" w:rsidRDefault="00000000">
      <w:pPr>
        <w:pStyle w:val="Heading2"/>
      </w:pPr>
      <w:bookmarkStart w:id="3" w:name="system-architecture-high-level-design"/>
      <w:bookmarkEnd w:id="1"/>
      <w:bookmarkEnd w:id="2"/>
      <w:r>
        <w:t>1. System Architecture &amp; High-Level Design</w:t>
      </w:r>
    </w:p>
    <w:p w14:paraId="06BDCD78" w14:textId="77777777" w:rsidR="003D4862" w:rsidRDefault="00000000">
      <w:pPr>
        <w:pStyle w:val="FirstParagraph"/>
      </w:pPr>
      <w:r>
        <w:t>HORIZON AI follows a modular, decoupled micro-service oriented architecture with clean separation between the presentation layer, the API gateway, the causal computational simulation core, and spatial datasets.</w:t>
      </w:r>
    </w:p>
    <w:p w14:paraId="3A801CFB" w14:textId="77777777" w:rsidR="003D4862" w:rsidRDefault="00000000">
      <w:pPr>
        <w:pStyle w:val="BodyText"/>
      </w:pPr>
      <w:r>
        <w:rPr>
          <w:noProof/>
        </w:rPr>
        <w:drawing>
          <wp:inline distT="0" distB="0" distL="0" distR="0" wp14:anchorId="16EF33F5" wp14:editId="71A8F107">
            <wp:extent cx="5334000" cy="2340849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m2_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E49F59" w14:textId="77777777" w:rsidR="003D4862" w:rsidRDefault="00000000">
      <w:r>
        <w:pict w14:anchorId="79338E21">
          <v:rect id="_x0000_i1027" style="width:0;height:1.5pt" o:hralign="center" o:hrstd="t" o:hr="t"/>
        </w:pict>
      </w:r>
    </w:p>
    <w:p w14:paraId="60C21530" w14:textId="77777777" w:rsidR="003D4862" w:rsidRDefault="00000000">
      <w:pPr>
        <w:pStyle w:val="Heading2"/>
      </w:pPr>
      <w:bookmarkStart w:id="4" w:name="uml-diagrams-data-flow-models"/>
      <w:bookmarkEnd w:id="3"/>
      <w:r>
        <w:t>2. UML Diagrams &amp; Data Flow Models</w:t>
      </w:r>
    </w:p>
    <w:p w14:paraId="10B3B5F2" w14:textId="77777777" w:rsidR="003D4862" w:rsidRDefault="00000000">
      <w:pPr>
        <w:pStyle w:val="Heading3"/>
      </w:pPr>
      <w:bookmarkStart w:id="5" w:name="use-case-diagram"/>
      <w:r>
        <w:t>2.1 Use-Case Diagram</w:t>
      </w:r>
    </w:p>
    <w:p w14:paraId="5957C0C8" w14:textId="77777777" w:rsidR="003D4862" w:rsidRDefault="00000000">
      <w:pPr>
        <w:pStyle w:val="FirstParagraph"/>
      </w:pPr>
      <w:r>
        <w:rPr>
          <w:noProof/>
        </w:rPr>
        <w:drawing>
          <wp:inline distT="0" distB="0" distL="0" distR="0" wp14:anchorId="49E07A1B" wp14:editId="43B929DC">
            <wp:extent cx="3238573" cy="6949439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m2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73" cy="6949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8B9785" w14:textId="77777777" w:rsidR="003D4862" w:rsidRDefault="00000000">
      <w:pPr>
        <w:pStyle w:val="Heading3"/>
      </w:pPr>
      <w:bookmarkStart w:id="6" w:name="X9011fe982e48ffa57b48f1f38402d4a0331d555"/>
      <w:bookmarkEnd w:id="5"/>
      <w:r>
        <w:t>2.2 Data Flow Diagram (DFD Level 0 - Context Diagram)</w:t>
      </w:r>
    </w:p>
    <w:p w14:paraId="04407B26" w14:textId="77777777" w:rsidR="003D4862" w:rsidRDefault="00000000">
      <w:pPr>
        <w:pStyle w:val="FirstParagraph"/>
      </w:pPr>
      <w:r>
        <w:rPr>
          <w:noProof/>
        </w:rPr>
        <w:drawing>
          <wp:inline distT="0" distB="0" distL="0" distR="0" wp14:anchorId="3187C4C6" wp14:editId="4094B054">
            <wp:extent cx="5334000" cy="2563306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m2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3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C10C44" w14:textId="77777777" w:rsidR="003D4862" w:rsidRDefault="00000000">
      <w:pPr>
        <w:pStyle w:val="Heading3"/>
      </w:pPr>
      <w:bookmarkStart w:id="7" w:name="data-flow-diagram-dfd-level-1"/>
      <w:bookmarkEnd w:id="6"/>
      <w:r>
        <w:t>2.3 Data Flow Diagram (DFD Level 1)</w:t>
      </w:r>
    </w:p>
    <w:p w14:paraId="61004DAA" w14:textId="77777777" w:rsidR="003D4862" w:rsidRDefault="00000000">
      <w:pPr>
        <w:pStyle w:val="FirstParagraph"/>
      </w:pPr>
      <w:r>
        <w:rPr>
          <w:noProof/>
        </w:rPr>
        <w:drawing>
          <wp:inline distT="0" distB="0" distL="0" distR="0" wp14:anchorId="233D5C89" wp14:editId="0413BB54">
            <wp:extent cx="5334000" cy="7300232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m2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00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B05F1A" w14:textId="77777777" w:rsidR="003D4862" w:rsidRDefault="00000000">
      <w:r>
        <w:pict w14:anchorId="04064AE7">
          <v:rect id="_x0000_i1028" style="width:0;height:1.5pt" o:hralign="center" o:hrstd="t" o:hr="t"/>
        </w:pict>
      </w:r>
    </w:p>
    <w:p w14:paraId="003D5B51" w14:textId="77777777" w:rsidR="003D4862" w:rsidRDefault="00000000">
      <w:pPr>
        <w:pStyle w:val="Heading2"/>
      </w:pPr>
      <w:bookmarkStart w:id="8" w:name="data-schema-component-design"/>
      <w:bookmarkEnd w:id="4"/>
      <w:bookmarkEnd w:id="7"/>
      <w:r>
        <w:t>3. Data Schema &amp; Component Design</w:t>
      </w:r>
    </w:p>
    <w:p w14:paraId="4CE4D0FF" w14:textId="77777777" w:rsidR="003D4862" w:rsidRDefault="00000000">
      <w:pPr>
        <w:pStyle w:val="FirstParagraph"/>
      </w:pPr>
      <w:r>
        <w:t xml:space="preserve">The system relies on strict Pydantic v2 schemas defined in </w:t>
      </w:r>
      <w:r>
        <w:rPr>
          <w:rStyle w:val="VerbatimChar"/>
        </w:rPr>
        <w:t>backend/models/development_schema.py</w:t>
      </w:r>
      <w:r>
        <w:t>:</w:t>
      </w:r>
    </w:p>
    <w:p w14:paraId="0132A4AD" w14:textId="77777777" w:rsidR="003D4862" w:rsidRDefault="00000000">
      <w:pPr>
        <w:pStyle w:val="Heading3"/>
      </w:pPr>
      <w:bookmarkStart w:id="9" w:name="input-models"/>
      <w:r>
        <w:t>3.1 Input Models</w:t>
      </w:r>
    </w:p>
    <w:p w14:paraId="0EE44124" w14:textId="77777777" w:rsidR="003D4862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LocationInput</w:t>
      </w:r>
      <w:r>
        <w:t>: Geocoded coordinates (</w:t>
      </w:r>
      <w:r>
        <w:rPr>
          <w:rStyle w:val="VerbatimChar"/>
        </w:rPr>
        <w:t>lat</w:t>
      </w:r>
      <w:r>
        <w:t xml:space="preserve">, </w:t>
      </w:r>
      <w:r>
        <w:rPr>
          <w:rStyle w:val="VerbatimChar"/>
        </w:rPr>
        <w:t>lng</w:t>
      </w:r>
      <w:r>
        <w:t xml:space="preserve">), address string, and planning </w:t>
      </w:r>
      <w:r>
        <w:rPr>
          <w:rStyle w:val="VerbatimChar"/>
        </w:rPr>
        <w:t>zone_name</w:t>
      </w:r>
      <w:r>
        <w:t>.</w:t>
      </w:r>
    </w:p>
    <w:p w14:paraId="65A3AFB5" w14:textId="77777777" w:rsidR="003D4862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DevelopmentInput</w:t>
      </w:r>
      <w:r>
        <w:t xml:space="preserve">: </w:t>
      </w:r>
      <w:r>
        <w:rPr>
          <w:rStyle w:val="VerbatimChar"/>
        </w:rPr>
        <w:t>dev_type</w:t>
      </w:r>
      <w:r>
        <w:t xml:space="preserve"> (12 categories: mall, residential, highway, hospital, data_center, etc.), </w:t>
      </w:r>
      <w:r>
        <w:rPr>
          <w:rStyle w:val="VerbatimChar"/>
        </w:rPr>
        <w:t>built_up_area_sqft</w:t>
      </w:r>
      <w:r>
        <w:t xml:space="preserve">, </w:t>
      </w:r>
      <w:r>
        <w:rPr>
          <w:rStyle w:val="VerbatimChar"/>
        </w:rPr>
        <w:t>floors</w:t>
      </w:r>
      <w:r>
        <w:t xml:space="preserve">, </w:t>
      </w:r>
      <w:r>
        <w:rPr>
          <w:rStyle w:val="VerbatimChar"/>
        </w:rPr>
        <w:t>visitor_capacity_daily</w:t>
      </w:r>
      <w:r>
        <w:t xml:space="preserve">, </w:t>
      </w:r>
      <w:r>
        <w:rPr>
          <w:rStyle w:val="VerbatimChar"/>
        </w:rPr>
        <w:t>parking_spaces</w:t>
      </w:r>
      <w:r>
        <w:t xml:space="preserve">, </w:t>
      </w:r>
      <w:r>
        <w:rPr>
          <w:rStyle w:val="VerbatimChar"/>
        </w:rPr>
        <w:t>green_area_hectares</w:t>
      </w:r>
      <w:r>
        <w:t xml:space="preserve">, </w:t>
      </w:r>
      <w:r>
        <w:rPr>
          <w:rStyle w:val="VerbatimChar"/>
        </w:rPr>
        <w:t>operating_hours_per_day</w:t>
      </w:r>
      <w:r>
        <w:t xml:space="preserve">, </w:t>
      </w:r>
      <w:r>
        <w:rPr>
          <w:rStyle w:val="VerbatimChar"/>
        </w:rPr>
        <w:t>construction_duration_months</w:t>
      </w:r>
      <w:r>
        <w:t>.</w:t>
      </w:r>
    </w:p>
    <w:p w14:paraId="5398AFD9" w14:textId="77777777" w:rsidR="003D4862" w:rsidRDefault="00000000">
      <w:pPr>
        <w:pStyle w:val="Heading3"/>
      </w:pPr>
      <w:bookmarkStart w:id="10" w:name="output-models"/>
      <w:bookmarkEnd w:id="9"/>
      <w:r>
        <w:t>3.2 Output Models</w:t>
      </w:r>
    </w:p>
    <w:p w14:paraId="239EE802" w14:textId="77777777" w:rsidR="003D4862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SpatialBaselineData</w:t>
      </w:r>
      <w:r>
        <w:t>: Baseline AQI PM2.5/PM10, water stress rating, existing road capacity %, metro and bus proximity in meters, population density.</w:t>
      </w:r>
    </w:p>
    <w:p w14:paraId="223755D7" w14:textId="77777777" w:rsidR="003D4862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SpatialBufferMetrics</w:t>
      </w:r>
      <w:r>
        <w:t>: Radial distance buckets (100m, 300m, 500m, 1000m) with distance-decayed PM2.5, PM10, noise (dB), and traffic spillovers.</w:t>
      </w:r>
    </w:p>
    <w:p w14:paraId="3FE4ED07" w14:textId="77777777" w:rsidR="003D4862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PositiveImpactItem</w:t>
      </w:r>
      <w:r>
        <w:rPr>
          <w:b/>
          <w:bCs/>
        </w:rPr>
        <w:t xml:space="preserve"> &amp; </w:t>
      </w:r>
      <w:r>
        <w:rPr>
          <w:rStyle w:val="VerbatimChar"/>
          <w:b/>
          <w:bCs/>
        </w:rPr>
        <w:t>NegativeImpactItem</w:t>
      </w:r>
      <w:r>
        <w:t>: Itemized impacts with quantified values, category classifications, and severity levels.</w:t>
      </w:r>
    </w:p>
    <w:p w14:paraId="4C65E9CD" w14:textId="77777777" w:rsidR="003D4862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DimensionScores</w:t>
      </w:r>
      <w:r>
        <w:t>: 7 normalized sub-scores (Economic, Social, Environmental, Mobility, Resources, Infrastructure, Climate Resilience).</w:t>
      </w:r>
    </w:p>
    <w:p w14:paraId="7CC74984" w14:textId="77777777" w:rsidR="003D4862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TemporalPoint</w:t>
      </w:r>
      <w:r>
        <w:t>: Multi-year trajectories for Years 2026, 2028, 2031, 2036, and 2041.</w:t>
      </w:r>
    </w:p>
    <w:p w14:paraId="045C4A50" w14:textId="77777777" w:rsidR="003D4862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ScenarioOutput</w:t>
      </w:r>
      <w:r>
        <w:t>: 3 counterfactual futures with net utility scores and policy modifications.</w:t>
      </w:r>
    </w:p>
    <w:p w14:paraId="639B8E31" w14:textId="77777777" w:rsidR="003D4862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SimulationResponse</w:t>
      </w:r>
      <w:r>
        <w:t>: Root response enclosing scores, explainers, data sources, and confidence index.</w:t>
      </w:r>
    </w:p>
    <w:p w14:paraId="61AAD14E" w14:textId="77777777" w:rsidR="003D4862" w:rsidRDefault="00000000">
      <w:r>
        <w:pict w14:anchorId="00743B0A">
          <v:rect id="_x0000_i1029" style="width:0;height:1.5pt" o:hralign="center" o:hrstd="t" o:hr="t"/>
        </w:pict>
      </w:r>
    </w:p>
    <w:p w14:paraId="712C7F90" w14:textId="77777777" w:rsidR="003D4862" w:rsidRDefault="00000000">
      <w:pPr>
        <w:pStyle w:val="Heading2"/>
      </w:pPr>
      <w:bookmarkStart w:id="11" w:name="Xac3b8853803eb6c372de0c35860c4d0cb59f392"/>
      <w:bookmarkEnd w:id="8"/>
      <w:bookmarkEnd w:id="10"/>
      <w:r>
        <w:t>4. Working Prototype / MVP Implementation Evidence</w:t>
      </w:r>
    </w:p>
    <w:p w14:paraId="5326BC89" w14:textId="77777777" w:rsidR="003D4862" w:rsidRDefault="00000000">
      <w:pPr>
        <w:pStyle w:val="Heading3"/>
      </w:pPr>
      <w:bookmarkStart w:id="12" w:name="implemented-modules-breakdown"/>
      <w:r>
        <w:t>4.1 Implemented Modules Breakdown</w:t>
      </w:r>
    </w:p>
    <w:p w14:paraId="101BAC1D" w14:textId="77777777" w:rsidR="003D486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Backend Service Layer (</w:t>
      </w:r>
      <w:r>
        <w:rPr>
          <w:rStyle w:val="VerbatimChar"/>
          <w:b/>
          <w:bCs/>
        </w:rPr>
        <w:t>backend/services/</w:t>
      </w:r>
      <w:r>
        <w:rPr>
          <w:b/>
          <w:bCs/>
        </w:rPr>
        <w:t>)</w:t>
      </w:r>
      <w:r>
        <w:t>:</w:t>
      </w:r>
    </w:p>
    <w:p w14:paraId="10A68DEF" w14:textId="77777777" w:rsidR="003D4862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spatial_engine.py</w:t>
      </w:r>
      <w:r>
        <w:t>: Encapsulates 10 Delhi-NCR spatial zones with geofences, baseline AQI, transit nodes, and DDA Master Plan 2041 zoning overlays.</w:t>
      </w:r>
    </w:p>
    <w:p w14:paraId="609FC28B" w14:textId="77777777" w:rsidR="003D4862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mobility_model.py</w:t>
      </w:r>
      <w:r>
        <w:t>: Calculates trip generation rates, peak-hour surges, and road capacity degradation.</w:t>
      </w:r>
    </w:p>
    <w:p w14:paraId="6BF73B97" w14:textId="77777777" w:rsidR="003D4862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pollution_model.py</w:t>
      </w:r>
      <w:r>
        <w:t>: Implements spatial Gaussian-style dispersion buffers across 100m–1000m radii.</w:t>
      </w:r>
    </w:p>
    <w:p w14:paraId="06B5FBAE" w14:textId="77777777" w:rsidR="003D4862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resource_model.py</w:t>
      </w:r>
      <w:r>
        <w:t>: Estimates water demand (kLD), groundwater stress rating, peak power load (MW), and solid waste.</w:t>
      </w:r>
    </w:p>
    <w:p w14:paraId="0E850460" w14:textId="77777777" w:rsidR="003D4862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economic_model.py</w:t>
      </w:r>
      <w:r>
        <w:t>: Estimates Capex (₹ Cr), annual Opex, direct/indirect employment, and municipal property tax yield.</w:t>
      </w:r>
    </w:p>
    <w:p w14:paraId="20059944" w14:textId="77777777" w:rsidR="003D4862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scenario_engine.py</w:t>
      </w:r>
      <w:r>
        <w:t>: Aggregates the composite HORIZON Score (0–100), Infrastructure Stress Index (ISS 0–100), builds temporal time-series, and counterfactual scenario variants.</w:t>
      </w:r>
    </w:p>
    <w:p w14:paraId="11D576A2" w14:textId="77777777" w:rsidR="003D4862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llm_explainer.py</w:t>
      </w:r>
      <w:r>
        <w:t>: Synthesizes plain-language executive trade-offs, explicit sacrifices, and actionable mitigation measures.</w:t>
      </w:r>
    </w:p>
    <w:p w14:paraId="4534EFC8" w14:textId="77777777" w:rsidR="003D486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Frontend UI Dashboard (</w:t>
      </w:r>
      <w:r>
        <w:rPr>
          <w:rStyle w:val="VerbatimChar"/>
          <w:b/>
          <w:bCs/>
        </w:rPr>
        <w:t>frontend/src/</w:t>
      </w:r>
      <w:r>
        <w:rPr>
          <w:b/>
          <w:bCs/>
        </w:rPr>
        <w:t>)</w:t>
      </w:r>
      <w:r>
        <w:t>:</w:t>
      </w:r>
    </w:p>
    <w:p w14:paraId="1ADF97B6" w14:textId="77777777" w:rsidR="003D4862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MapContainer.tsx</w:t>
      </w:r>
      <w:r>
        <w:t>: Interactive Leaflet/Mapbox vector map showing development anchors, spatial buffer radiuses, transit lines, and zone polygons.</w:t>
      </w:r>
    </w:p>
    <w:p w14:paraId="0ECBE29C" w14:textId="77777777" w:rsidR="003D4862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FormDrawer.tsx</w:t>
      </w:r>
      <w:r>
        <w:t>: Dynamic configuration drawer for selecting typology, sizing, capacity, and green buffers.</w:t>
      </w:r>
    </w:p>
    <w:p w14:paraId="3EC124B5" w14:textId="77777777" w:rsidR="003D4862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PositiveNegativeLedger.tsx</w:t>
      </w:r>
      <w:r>
        <w:t>: Dual-panel comparative breakdown showing quantifiable gains versus environmental sacrifices.</w:t>
      </w:r>
    </w:p>
    <w:p w14:paraId="12AA09C6" w14:textId="77777777" w:rsidR="003D4862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StressGauge.tsx</w:t>
      </w:r>
      <w:r>
        <w:t xml:space="preserve"> &amp; </w:t>
      </w:r>
      <w:r>
        <w:rPr>
          <w:rStyle w:val="VerbatimChar"/>
        </w:rPr>
        <w:t>RadarMetrics.tsx</w:t>
      </w:r>
      <w:r>
        <w:t>: Real-time visual meters for ISS (Infrastructure Stress Index) and multi-dimensional balance.</w:t>
      </w:r>
    </w:p>
    <w:p w14:paraId="2045B87D" w14:textId="77777777" w:rsidR="003D4862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TemporalTimeline.tsx</w:t>
      </w:r>
      <w:r>
        <w:t>: Interactive slider projecting 15-year future trajectories (2026–2041).</w:t>
      </w:r>
    </w:p>
    <w:p w14:paraId="2DC358CC" w14:textId="77777777" w:rsidR="003D4862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ChallengeDrawer.tsx</w:t>
      </w:r>
      <w:r>
        <w:t>: Counterfactual scenario selector allowing planners to test green mitigations on the fly.</w:t>
      </w:r>
    </w:p>
    <w:p w14:paraId="3A32453A" w14:textId="77777777" w:rsidR="003D4862" w:rsidRDefault="00000000">
      <w:r>
        <w:pict w14:anchorId="0609AE2D">
          <v:rect id="_x0000_i1030" style="width:0;height:1.5pt" o:hralign="center" o:hrstd="t" o:hr="t"/>
        </w:pict>
      </w:r>
    </w:p>
    <w:p w14:paraId="3596A7F9" w14:textId="77777777" w:rsidR="003D4862" w:rsidRDefault="00000000">
      <w:pPr>
        <w:pStyle w:val="Heading2"/>
      </w:pPr>
      <w:bookmarkStart w:id="13" w:name="X38afc29474e3e366bf32b2db19f8b17951c5082"/>
      <w:bookmarkEnd w:id="11"/>
      <w:bookmarkEnd w:id="12"/>
      <w:r>
        <w:t>5. Milestone-2 Test Cases &amp; Initial Validation Plan</w:t>
      </w:r>
    </w:p>
    <w:p w14:paraId="6FB6D67E" w14:textId="77777777" w:rsidR="003D4862" w:rsidRDefault="00000000">
      <w:pPr>
        <w:pStyle w:val="FirstParagraph"/>
      </w:pPr>
      <w:r>
        <w:t>The following test suites are established to satisfy the Milestone-2 testing criterion: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996"/>
        <w:gridCol w:w="2097"/>
        <w:gridCol w:w="2275"/>
        <w:gridCol w:w="4208"/>
      </w:tblGrid>
      <w:tr w:rsidR="003D4862" w14:paraId="60E80B59" w14:textId="77777777" w:rsidTr="003D4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544F9436" w14:textId="77777777" w:rsidR="003D4862" w:rsidRDefault="00000000">
            <w:pPr>
              <w:pStyle w:val="Compact"/>
            </w:pPr>
            <w:r>
              <w:rPr>
                <w:b/>
                <w:sz w:val="19"/>
              </w:rPr>
              <w:t>Test Suite ID</w:t>
            </w:r>
          </w:p>
        </w:tc>
        <w:tc>
          <w:tcPr>
            <w:tcW w:w="0" w:type="auto"/>
            <w:shd w:val="clear" w:color="auto" w:fill="E7E6E6"/>
          </w:tcPr>
          <w:p w14:paraId="0BF5BFF3" w14:textId="77777777" w:rsidR="003D4862" w:rsidRDefault="00000000">
            <w:pPr>
              <w:pStyle w:val="Compact"/>
            </w:pPr>
            <w:r>
              <w:rPr>
                <w:b/>
                <w:sz w:val="19"/>
              </w:rPr>
              <w:t>Target Component</w:t>
            </w:r>
          </w:p>
        </w:tc>
        <w:tc>
          <w:tcPr>
            <w:tcW w:w="0" w:type="auto"/>
            <w:shd w:val="clear" w:color="auto" w:fill="E7E6E6"/>
          </w:tcPr>
          <w:p w14:paraId="6DD18911" w14:textId="77777777" w:rsidR="003D4862" w:rsidRDefault="00000000">
            <w:pPr>
              <w:pStyle w:val="Compact"/>
            </w:pPr>
            <w:r>
              <w:rPr>
                <w:b/>
                <w:sz w:val="19"/>
              </w:rPr>
              <w:t>Validation Objective</w:t>
            </w:r>
          </w:p>
        </w:tc>
        <w:tc>
          <w:tcPr>
            <w:tcW w:w="0" w:type="auto"/>
            <w:shd w:val="clear" w:color="auto" w:fill="E7E6E6"/>
          </w:tcPr>
          <w:p w14:paraId="1A844F6F" w14:textId="77777777" w:rsidR="003D4862" w:rsidRDefault="00000000">
            <w:pPr>
              <w:pStyle w:val="Compact"/>
            </w:pPr>
            <w:r>
              <w:rPr>
                <w:b/>
                <w:sz w:val="19"/>
              </w:rPr>
              <w:t>Expected Behavior</w:t>
            </w:r>
          </w:p>
        </w:tc>
      </w:tr>
      <w:tr w:rsidR="003D4862" w14:paraId="2093495A" w14:textId="77777777">
        <w:tc>
          <w:tcPr>
            <w:tcW w:w="0" w:type="auto"/>
          </w:tcPr>
          <w:p w14:paraId="41082DBF" w14:textId="77777777" w:rsidR="003D4862" w:rsidRDefault="00000000">
            <w:pPr>
              <w:pStyle w:val="Compact"/>
            </w:pPr>
            <w:r>
              <w:rPr>
                <w:b/>
                <w:bCs/>
                <w:sz w:val="19"/>
              </w:rPr>
              <w:t>TC-01</w:t>
            </w:r>
          </w:p>
        </w:tc>
        <w:tc>
          <w:tcPr>
            <w:tcW w:w="0" w:type="auto"/>
          </w:tcPr>
          <w:p w14:paraId="71CFDF1C" w14:textId="77777777" w:rsidR="003D4862" w:rsidRDefault="00000000">
            <w:pPr>
              <w:pStyle w:val="Compact"/>
            </w:pPr>
            <w:r>
              <w:rPr>
                <w:rStyle w:val="VerbatimChar"/>
                <w:sz w:val="19"/>
              </w:rPr>
              <w:t>spatial_engine.py</w:t>
            </w:r>
          </w:p>
        </w:tc>
        <w:tc>
          <w:tcPr>
            <w:tcW w:w="0" w:type="auto"/>
          </w:tcPr>
          <w:p w14:paraId="4EAF367F" w14:textId="77777777" w:rsidR="003D4862" w:rsidRDefault="00000000">
            <w:pPr>
              <w:pStyle w:val="Compact"/>
            </w:pPr>
            <w:r>
              <w:rPr>
                <w:sz w:val="19"/>
              </w:rPr>
              <w:t>Coordinate-to-zone nearest mapping</w:t>
            </w:r>
          </w:p>
        </w:tc>
        <w:tc>
          <w:tcPr>
            <w:tcW w:w="0" w:type="auto"/>
          </w:tcPr>
          <w:p w14:paraId="32CA93C2" w14:textId="77777777" w:rsidR="003D4862" w:rsidRDefault="00000000">
            <w:pPr>
              <w:pStyle w:val="Compact"/>
            </w:pPr>
            <w:r>
              <w:rPr>
                <w:sz w:val="19"/>
              </w:rPr>
              <w:t>Correctly identifies Noida Sector 62, Cyber City, Dwarka Corridor.</w:t>
            </w:r>
          </w:p>
        </w:tc>
      </w:tr>
      <w:tr w:rsidR="003D4862" w14:paraId="4BDCD070" w14:textId="77777777">
        <w:tc>
          <w:tcPr>
            <w:tcW w:w="0" w:type="auto"/>
          </w:tcPr>
          <w:p w14:paraId="4D71CD4C" w14:textId="77777777" w:rsidR="003D4862" w:rsidRDefault="00000000">
            <w:pPr>
              <w:pStyle w:val="Compact"/>
            </w:pPr>
            <w:r>
              <w:rPr>
                <w:b/>
                <w:bCs/>
                <w:sz w:val="19"/>
              </w:rPr>
              <w:t>TC-02</w:t>
            </w:r>
          </w:p>
        </w:tc>
        <w:tc>
          <w:tcPr>
            <w:tcW w:w="0" w:type="auto"/>
          </w:tcPr>
          <w:p w14:paraId="21DDC104" w14:textId="77777777" w:rsidR="003D4862" w:rsidRDefault="00000000">
            <w:pPr>
              <w:pStyle w:val="Compact"/>
            </w:pPr>
            <w:r>
              <w:rPr>
                <w:rStyle w:val="VerbatimChar"/>
                <w:sz w:val="19"/>
              </w:rPr>
              <w:t>mobility_model.py</w:t>
            </w:r>
          </w:p>
        </w:tc>
        <w:tc>
          <w:tcPr>
            <w:tcW w:w="0" w:type="auto"/>
          </w:tcPr>
          <w:p w14:paraId="53427937" w14:textId="77777777" w:rsidR="003D4862" w:rsidRDefault="00000000">
            <w:pPr>
              <w:pStyle w:val="Compact"/>
            </w:pPr>
            <w:r>
              <w:rPr>
                <w:sz w:val="19"/>
              </w:rPr>
              <w:t>Trip generation by typology</w:t>
            </w:r>
          </w:p>
        </w:tc>
        <w:tc>
          <w:tcPr>
            <w:tcW w:w="0" w:type="auto"/>
          </w:tcPr>
          <w:p w14:paraId="383106C0" w14:textId="77777777" w:rsidR="003D4862" w:rsidRDefault="00000000">
            <w:pPr>
              <w:pStyle w:val="Compact"/>
            </w:pPr>
            <w:r>
              <w:rPr>
                <w:sz w:val="19"/>
              </w:rPr>
              <w:t>Commercial mall generates higher peak vehicle trips than school or solar farm.</w:t>
            </w:r>
          </w:p>
        </w:tc>
      </w:tr>
      <w:tr w:rsidR="003D4862" w14:paraId="00D78623" w14:textId="77777777">
        <w:tc>
          <w:tcPr>
            <w:tcW w:w="0" w:type="auto"/>
          </w:tcPr>
          <w:p w14:paraId="7135269C" w14:textId="77777777" w:rsidR="003D4862" w:rsidRDefault="00000000">
            <w:pPr>
              <w:pStyle w:val="Compact"/>
            </w:pPr>
            <w:r>
              <w:rPr>
                <w:b/>
                <w:bCs/>
                <w:sz w:val="19"/>
              </w:rPr>
              <w:t>TC-03</w:t>
            </w:r>
          </w:p>
        </w:tc>
        <w:tc>
          <w:tcPr>
            <w:tcW w:w="0" w:type="auto"/>
          </w:tcPr>
          <w:p w14:paraId="1F172B48" w14:textId="77777777" w:rsidR="003D4862" w:rsidRDefault="00000000">
            <w:pPr>
              <w:pStyle w:val="Compact"/>
            </w:pPr>
            <w:r>
              <w:rPr>
                <w:rStyle w:val="VerbatimChar"/>
                <w:sz w:val="19"/>
              </w:rPr>
              <w:t>pollution_model.py</w:t>
            </w:r>
          </w:p>
        </w:tc>
        <w:tc>
          <w:tcPr>
            <w:tcW w:w="0" w:type="auto"/>
          </w:tcPr>
          <w:p w14:paraId="56E41F54" w14:textId="77777777" w:rsidR="003D4862" w:rsidRDefault="00000000">
            <w:pPr>
              <w:pStyle w:val="Compact"/>
            </w:pPr>
            <w:r>
              <w:rPr>
                <w:sz w:val="19"/>
              </w:rPr>
              <w:t>Radial buffer decay</w:t>
            </w:r>
          </w:p>
        </w:tc>
        <w:tc>
          <w:tcPr>
            <w:tcW w:w="0" w:type="auto"/>
          </w:tcPr>
          <w:p w14:paraId="0892BFDF" w14:textId="77777777" w:rsidR="003D4862" w:rsidRDefault="00000000">
            <w:pPr>
              <w:pStyle w:val="Compact"/>
            </w:pPr>
            <w:r>
              <w:rPr>
                <w:sz w:val="19"/>
              </w:rPr>
              <w:t>PM2.5 and noise pollution decrease monotonically from 100m to 1000m.</w:t>
            </w:r>
          </w:p>
        </w:tc>
      </w:tr>
      <w:tr w:rsidR="003D4862" w14:paraId="18C61F33" w14:textId="77777777">
        <w:tc>
          <w:tcPr>
            <w:tcW w:w="0" w:type="auto"/>
          </w:tcPr>
          <w:p w14:paraId="6741A210" w14:textId="77777777" w:rsidR="003D4862" w:rsidRDefault="00000000">
            <w:pPr>
              <w:pStyle w:val="Compact"/>
            </w:pPr>
            <w:r>
              <w:rPr>
                <w:b/>
                <w:bCs/>
                <w:sz w:val="19"/>
              </w:rPr>
              <w:t>TC-04</w:t>
            </w:r>
          </w:p>
        </w:tc>
        <w:tc>
          <w:tcPr>
            <w:tcW w:w="0" w:type="auto"/>
          </w:tcPr>
          <w:p w14:paraId="5BF3263D" w14:textId="77777777" w:rsidR="003D4862" w:rsidRDefault="00000000">
            <w:pPr>
              <w:pStyle w:val="Compact"/>
            </w:pPr>
            <w:r>
              <w:rPr>
                <w:rStyle w:val="VerbatimChar"/>
                <w:sz w:val="19"/>
              </w:rPr>
              <w:t>resource_model.py</w:t>
            </w:r>
          </w:p>
        </w:tc>
        <w:tc>
          <w:tcPr>
            <w:tcW w:w="0" w:type="auto"/>
          </w:tcPr>
          <w:p w14:paraId="1A0EE314" w14:textId="77777777" w:rsidR="003D4862" w:rsidRDefault="00000000">
            <w:pPr>
              <w:pStyle w:val="Compact"/>
            </w:pPr>
            <w:r>
              <w:rPr>
                <w:sz w:val="19"/>
              </w:rPr>
              <w:t>Water stress critical threshold</w:t>
            </w:r>
          </w:p>
        </w:tc>
        <w:tc>
          <w:tcPr>
            <w:tcW w:w="0" w:type="auto"/>
          </w:tcPr>
          <w:p w14:paraId="482A45D7" w14:textId="77777777" w:rsidR="003D4862" w:rsidRDefault="00000000">
            <w:pPr>
              <w:pStyle w:val="Compact"/>
            </w:pPr>
            <w:r>
              <w:rPr>
                <w:sz w:val="19"/>
              </w:rPr>
              <w:t>Exceeding 150 kLD in a Critical aquifer zone triggers a “Critical” drawdown flag.</w:t>
            </w:r>
          </w:p>
        </w:tc>
      </w:tr>
      <w:tr w:rsidR="003D4862" w14:paraId="5CF6F5B8" w14:textId="77777777">
        <w:tc>
          <w:tcPr>
            <w:tcW w:w="0" w:type="auto"/>
          </w:tcPr>
          <w:p w14:paraId="03A7B60E" w14:textId="77777777" w:rsidR="003D4862" w:rsidRDefault="00000000">
            <w:pPr>
              <w:pStyle w:val="Compact"/>
            </w:pPr>
            <w:r>
              <w:rPr>
                <w:b/>
                <w:bCs/>
                <w:sz w:val="19"/>
              </w:rPr>
              <w:t>TC-05</w:t>
            </w:r>
          </w:p>
        </w:tc>
        <w:tc>
          <w:tcPr>
            <w:tcW w:w="0" w:type="auto"/>
          </w:tcPr>
          <w:p w14:paraId="53FFF859" w14:textId="77777777" w:rsidR="003D4862" w:rsidRDefault="00000000">
            <w:pPr>
              <w:pStyle w:val="Compact"/>
            </w:pPr>
            <w:r>
              <w:rPr>
                <w:rStyle w:val="VerbatimChar"/>
                <w:sz w:val="19"/>
              </w:rPr>
              <w:t>economic_model.py</w:t>
            </w:r>
          </w:p>
        </w:tc>
        <w:tc>
          <w:tcPr>
            <w:tcW w:w="0" w:type="auto"/>
          </w:tcPr>
          <w:p w14:paraId="1DE75031" w14:textId="77777777" w:rsidR="003D4862" w:rsidRDefault="00000000">
            <w:pPr>
              <w:pStyle w:val="Compact"/>
            </w:pPr>
            <w:r>
              <w:rPr>
                <w:sz w:val="19"/>
              </w:rPr>
              <w:t>Capex &amp; Jobs proportionality</w:t>
            </w:r>
          </w:p>
        </w:tc>
        <w:tc>
          <w:tcPr>
            <w:tcW w:w="0" w:type="auto"/>
          </w:tcPr>
          <w:p w14:paraId="4DFC23D1" w14:textId="77777777" w:rsidR="003D4862" w:rsidRDefault="00000000">
            <w:pPr>
              <w:pStyle w:val="Compact"/>
            </w:pPr>
            <w:r>
              <w:rPr>
                <w:sz w:val="19"/>
              </w:rPr>
              <w:t>Larger built-up area generates proportionally higher Capex and employment.</w:t>
            </w:r>
          </w:p>
        </w:tc>
      </w:tr>
      <w:tr w:rsidR="003D4862" w14:paraId="2EBBF3CA" w14:textId="77777777">
        <w:tc>
          <w:tcPr>
            <w:tcW w:w="0" w:type="auto"/>
          </w:tcPr>
          <w:p w14:paraId="093D8A29" w14:textId="77777777" w:rsidR="003D4862" w:rsidRDefault="00000000">
            <w:pPr>
              <w:pStyle w:val="Compact"/>
            </w:pPr>
            <w:r>
              <w:rPr>
                <w:b/>
                <w:bCs/>
                <w:sz w:val="19"/>
              </w:rPr>
              <w:t>TC-06</w:t>
            </w:r>
          </w:p>
        </w:tc>
        <w:tc>
          <w:tcPr>
            <w:tcW w:w="0" w:type="auto"/>
          </w:tcPr>
          <w:p w14:paraId="18E9F31B" w14:textId="77777777" w:rsidR="003D4862" w:rsidRDefault="00000000">
            <w:pPr>
              <w:pStyle w:val="Compact"/>
            </w:pPr>
            <w:r>
              <w:rPr>
                <w:rStyle w:val="VerbatimChar"/>
                <w:sz w:val="19"/>
              </w:rPr>
              <w:t>scenario_engine.py</w:t>
            </w:r>
          </w:p>
        </w:tc>
        <w:tc>
          <w:tcPr>
            <w:tcW w:w="0" w:type="auto"/>
          </w:tcPr>
          <w:p w14:paraId="62200CBA" w14:textId="77777777" w:rsidR="003D4862" w:rsidRDefault="00000000">
            <w:pPr>
              <w:pStyle w:val="Compact"/>
            </w:pPr>
            <w:r>
              <w:rPr>
                <w:sz w:val="19"/>
              </w:rPr>
              <w:t>Score normalization</w:t>
            </w:r>
          </w:p>
        </w:tc>
        <w:tc>
          <w:tcPr>
            <w:tcW w:w="0" w:type="auto"/>
          </w:tcPr>
          <w:p w14:paraId="02952513" w14:textId="77777777" w:rsidR="003D4862" w:rsidRDefault="00000000">
            <w:pPr>
              <w:pStyle w:val="Compact"/>
            </w:pPr>
            <w:r>
              <w:rPr>
                <w:sz w:val="19"/>
              </w:rPr>
              <w:t>HORIZON Score and ISS always remain strictly bounded between 0.0 and 100.0.</w:t>
            </w:r>
          </w:p>
        </w:tc>
      </w:tr>
      <w:tr w:rsidR="003D4862" w14:paraId="49C97E08" w14:textId="77777777">
        <w:tc>
          <w:tcPr>
            <w:tcW w:w="0" w:type="auto"/>
          </w:tcPr>
          <w:p w14:paraId="7B845476" w14:textId="77777777" w:rsidR="003D4862" w:rsidRDefault="00000000">
            <w:pPr>
              <w:pStyle w:val="Compact"/>
            </w:pPr>
            <w:r>
              <w:rPr>
                <w:b/>
                <w:bCs/>
                <w:sz w:val="19"/>
              </w:rPr>
              <w:t>TC-07</w:t>
            </w:r>
          </w:p>
        </w:tc>
        <w:tc>
          <w:tcPr>
            <w:tcW w:w="0" w:type="auto"/>
          </w:tcPr>
          <w:p w14:paraId="1EA94009" w14:textId="77777777" w:rsidR="003D4862" w:rsidRDefault="00000000">
            <w:pPr>
              <w:pStyle w:val="Compact"/>
            </w:pPr>
            <w:r>
              <w:rPr>
                <w:rStyle w:val="VerbatimChar"/>
                <w:sz w:val="19"/>
              </w:rPr>
              <w:t>api/simulate</w:t>
            </w:r>
          </w:p>
        </w:tc>
        <w:tc>
          <w:tcPr>
            <w:tcW w:w="0" w:type="auto"/>
          </w:tcPr>
          <w:p w14:paraId="5E0A54D6" w14:textId="77777777" w:rsidR="003D4862" w:rsidRDefault="00000000">
            <w:pPr>
              <w:pStyle w:val="Compact"/>
            </w:pPr>
            <w:r>
              <w:rPr>
                <w:sz w:val="19"/>
              </w:rPr>
              <w:t>End-to-end integration latency</w:t>
            </w:r>
          </w:p>
        </w:tc>
        <w:tc>
          <w:tcPr>
            <w:tcW w:w="0" w:type="auto"/>
          </w:tcPr>
          <w:p w14:paraId="4D657F17" w14:textId="77777777" w:rsidR="003D4862" w:rsidRDefault="00000000">
            <w:pPr>
              <w:pStyle w:val="Compact"/>
            </w:pPr>
            <w:r>
              <w:rPr>
                <w:sz w:val="19"/>
              </w:rPr>
              <w:t>API handles standard payload and returns within 500ms with HTTP 200.</w:t>
            </w:r>
          </w:p>
        </w:tc>
      </w:tr>
    </w:tbl>
    <w:p w14:paraId="51F4C93B" w14:textId="77777777" w:rsidR="003D4862" w:rsidRDefault="00000000">
      <w:r>
        <w:pict w14:anchorId="3C6BA906">
          <v:rect id="_x0000_i1031" style="width:0;height:1.5pt" o:hralign="center" o:hrstd="t" o:hr="t"/>
        </w:pict>
      </w:r>
    </w:p>
    <w:p w14:paraId="36D8AB7C" w14:textId="77777777" w:rsidR="003D4862" w:rsidRDefault="00000000">
      <w:pPr>
        <w:pStyle w:val="Heading2"/>
      </w:pPr>
      <w:bookmarkStart w:id="14" w:name="X28c9d5f0daf8d98a02a6c49a0201c5f1b050b40"/>
      <w:bookmarkEnd w:id="13"/>
      <w:r>
        <w:t>6. Completed Work vs Remaining Work for Final Evaluation</w:t>
      </w:r>
    </w:p>
    <w:p w14:paraId="31377FBA" w14:textId="77777777" w:rsidR="003D4862" w:rsidRDefault="00000000">
      <w:pPr>
        <w:pStyle w:val="Heading3"/>
      </w:pPr>
      <w:bookmarkStart w:id="15" w:name="completed-work-milestone-2"/>
      <w:r>
        <w:t>Completed Work (Milestone-2)</w:t>
      </w:r>
    </w:p>
    <w:p w14:paraId="392BC794" w14:textId="77777777" w:rsidR="003D4862" w:rsidRDefault="00000000">
      <w:pPr>
        <w:pStyle w:val="Compact"/>
        <w:numPr>
          <w:ilvl w:val="0"/>
          <w:numId w:val="7"/>
        </w:numPr>
      </w:pPr>
      <w:r>
        <w:t>☒ Full core causal simulation backend (7 modular microservices).</w:t>
      </w:r>
    </w:p>
    <w:p w14:paraId="5F945DC4" w14:textId="77777777" w:rsidR="003D4862" w:rsidRDefault="00000000">
      <w:pPr>
        <w:pStyle w:val="Compact"/>
        <w:numPr>
          <w:ilvl w:val="0"/>
          <w:numId w:val="7"/>
        </w:numPr>
      </w:pPr>
      <w:r>
        <w:t>☒ Pydantic v2 validation and error handling for all development parameters.</w:t>
      </w:r>
    </w:p>
    <w:p w14:paraId="59DE22B6" w14:textId="77777777" w:rsidR="003D4862" w:rsidRDefault="00000000">
      <w:pPr>
        <w:pStyle w:val="Compact"/>
        <w:numPr>
          <w:ilvl w:val="0"/>
          <w:numId w:val="7"/>
        </w:numPr>
      </w:pPr>
      <w:r>
        <w:t>☒ Responsive Next.js frontend with live map, gauges, ledgers, and sliders.</w:t>
      </w:r>
    </w:p>
    <w:p w14:paraId="39E67948" w14:textId="77777777" w:rsidR="003D4862" w:rsidRDefault="00000000">
      <w:pPr>
        <w:pStyle w:val="Compact"/>
        <w:numPr>
          <w:ilvl w:val="0"/>
          <w:numId w:val="7"/>
        </w:numPr>
      </w:pPr>
      <w:r>
        <w:t>☒ Integration with Delhi-NCR geospatial baseline points and Master Plan 2041 zoning.</w:t>
      </w:r>
    </w:p>
    <w:p w14:paraId="59C79ED7" w14:textId="77777777" w:rsidR="003D4862" w:rsidRDefault="00000000">
      <w:pPr>
        <w:pStyle w:val="Compact"/>
        <w:numPr>
          <w:ilvl w:val="0"/>
          <w:numId w:val="7"/>
        </w:numPr>
      </w:pPr>
      <w:r>
        <w:t>☒ Dynamic counterfactual scenario generator and AI explainer.</w:t>
      </w:r>
    </w:p>
    <w:p w14:paraId="5A257638" w14:textId="77777777" w:rsidR="003D4862" w:rsidRDefault="00000000">
      <w:pPr>
        <w:pStyle w:val="Heading3"/>
      </w:pPr>
      <w:bookmarkStart w:id="16" w:name="remaining-work-for-final-evaluation"/>
      <w:bookmarkEnd w:id="15"/>
      <w:r>
        <w:t>Remaining Work for Final Evaluation</w:t>
      </w:r>
    </w:p>
    <w:p w14:paraId="6A35338F" w14:textId="77777777" w:rsidR="003D4862" w:rsidRDefault="00000000">
      <w:pPr>
        <w:pStyle w:val="Compact"/>
        <w:numPr>
          <w:ilvl w:val="0"/>
          <w:numId w:val="8"/>
        </w:numPr>
      </w:pPr>
      <w:r>
        <w:t>☐ Implement automated unit and regression test suite (</w:t>
      </w:r>
      <w:r>
        <w:rPr>
          <w:rStyle w:val="VerbatimChar"/>
        </w:rPr>
        <w:t>pytest</w:t>
      </w:r>
      <w:r>
        <w:t>) in backend.</w:t>
      </w:r>
    </w:p>
    <w:p w14:paraId="1607E066" w14:textId="77777777" w:rsidR="003D4862" w:rsidRDefault="00000000">
      <w:pPr>
        <w:pStyle w:val="Compact"/>
        <w:numPr>
          <w:ilvl w:val="0"/>
          <w:numId w:val="8"/>
        </w:numPr>
      </w:pPr>
      <w:r>
        <w:t>☐ Conduct latency and load benchmarking under concurrent simulation requests.</w:t>
      </w:r>
    </w:p>
    <w:p w14:paraId="47386EAA" w14:textId="77777777" w:rsidR="003D4862" w:rsidRDefault="00000000">
      <w:pPr>
        <w:pStyle w:val="Compact"/>
        <w:numPr>
          <w:ilvl w:val="0"/>
          <w:numId w:val="8"/>
        </w:numPr>
      </w:pPr>
      <w:r>
        <w:t>☐ Validate simulated PM2.5 and traffic spikes against published CPCB/DDA historical case studies.</w:t>
      </w:r>
    </w:p>
    <w:p w14:paraId="5AFA3FC8" w14:textId="77777777" w:rsidR="003D4862" w:rsidRDefault="00000000">
      <w:pPr>
        <w:pStyle w:val="Compact"/>
        <w:numPr>
          <w:ilvl w:val="0"/>
          <w:numId w:val="8"/>
        </w:numPr>
      </w:pPr>
      <w:r>
        <w:t>☐ Compile the final 20–40 page Capstone Project Report following Section 12 formatting guidelines.</w:t>
      </w:r>
    </w:p>
    <w:p w14:paraId="4D6DB532" w14:textId="77777777" w:rsidR="003D4862" w:rsidRDefault="00000000">
      <w:pPr>
        <w:pStyle w:val="Compact"/>
        <w:numPr>
          <w:ilvl w:val="0"/>
          <w:numId w:val="8"/>
        </w:numPr>
      </w:pPr>
      <w:r>
        <w:t>☐ Prepare final presentation slide deck and rehearsed live demonstration script.</w:t>
      </w:r>
    </w:p>
    <w:p w14:paraId="4B9E2907" w14:textId="7EF4A6CC" w:rsidR="003D4862" w:rsidRDefault="00000000" w:rsidP="00AB1DC8">
      <w:r>
        <w:pict w14:anchorId="094024C1">
          <v:rect id="_x0000_i1032" style="width:0;height:1.5pt" o:hralign="center" o:hrstd="t" o:hr="t"/>
        </w:pict>
      </w:r>
      <w:bookmarkEnd w:id="0"/>
      <w:bookmarkEnd w:id="14"/>
      <w:bookmarkEnd w:id="16"/>
    </w:p>
    <w:sectPr w:rsidR="003D486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9183C" w14:textId="77777777" w:rsidR="00BC1C38" w:rsidRDefault="00BC1C38">
      <w:pPr>
        <w:spacing w:after="0"/>
      </w:pPr>
      <w:r>
        <w:separator/>
      </w:r>
    </w:p>
  </w:endnote>
  <w:endnote w:type="continuationSeparator" w:id="0">
    <w:p w14:paraId="2FD68085" w14:textId="77777777" w:rsidR="00BC1C38" w:rsidRDefault="00BC1C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0212E" w14:textId="77777777" w:rsidR="00BC1C38" w:rsidRDefault="00BC1C38">
      <w:r>
        <w:separator/>
      </w:r>
    </w:p>
  </w:footnote>
  <w:footnote w:type="continuationSeparator" w:id="0">
    <w:p w14:paraId="3E4D5C43" w14:textId="77777777" w:rsidR="00BC1C38" w:rsidRDefault="00BC1C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4286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52641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86E01D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12129128">
    <w:abstractNumId w:val="0"/>
  </w:num>
  <w:num w:numId="2" w16cid:durableId="1094400118">
    <w:abstractNumId w:val="1"/>
  </w:num>
  <w:num w:numId="3" w16cid:durableId="1782608883">
    <w:abstractNumId w:val="1"/>
  </w:num>
  <w:num w:numId="4" w16cid:durableId="17706609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9573157">
    <w:abstractNumId w:val="1"/>
  </w:num>
  <w:num w:numId="6" w16cid:durableId="1454640828">
    <w:abstractNumId w:val="1"/>
  </w:num>
  <w:num w:numId="7" w16cid:durableId="555164085">
    <w:abstractNumId w:val="1"/>
  </w:num>
  <w:num w:numId="8" w16cid:durableId="906693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862"/>
    <w:rsid w:val="00027804"/>
    <w:rsid w:val="003D4862"/>
    <w:rsid w:val="00AB1DC8"/>
    <w:rsid w:val="00BC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4D5D"/>
  <w15:docId w15:val="{CEBF035B-CC3C-4571-9AF2-A4E8BFAF3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000000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000000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iCs/>
      <w:color w:val="000000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color w:val="000000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color w:val="000000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color w:val="000000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ACHAL SINGH  SHEKHAWAT</cp:lastModifiedBy>
  <cp:revision>2</cp:revision>
  <dcterms:created xsi:type="dcterms:W3CDTF">2026-10-06T07:50:00Z</dcterms:created>
  <dcterms:modified xsi:type="dcterms:W3CDTF">2026-10-06T07:57:00Z</dcterms:modified>
</cp:coreProperties>
</file>