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hd w:fill="4D8F2A"/>
      </w:pPr>
      <w:r>
        <w:rPr>
          <w:rFonts w:ascii="Aptos" w:hAnsi="Aptos"/>
          <w:b/>
          <w:i w:val="0"/>
          <w:color w:val="FFFFFF"/>
          <w:sz w:val="20"/>
        </w:rPr>
        <w:t>NOTE 2</w:t>
      </w:r>
    </w:p>
    <w:p>
      <w:pPr>
        <w:pStyle w:val="Title"/>
      </w:pPr>
      <w:r>
        <w:rPr>
          <w:rFonts w:ascii="Aptos Display" w:hAnsi="Aptos Display"/>
          <w:b/>
          <w:i w:val="0"/>
          <w:color w:val="18324B"/>
          <w:sz w:val="52"/>
        </w:rPr>
        <w:t>ISAGRI : organigramme reconstitué et cartographie des décideurs</w:t>
      </w:r>
    </w:p>
    <w:p>
      <w:r>
        <w:rPr>
          <w:rFonts w:ascii="Aptos" w:hAnsi="Aptos"/>
          <w:b/>
          <w:i w:val="0"/>
          <w:color w:val="2D5E20"/>
          <w:sz w:val="26"/>
        </w:rPr>
        <w:t>Exemple réduit dérivé d’une analyse publique ; à revalider avant tout usage.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AF3E5"/>
            <w:tcBorders>
              <w:top w:val="single" w:sz="5" w:color="B8D3AA"/>
              <w:left w:val="single" w:sz="5" w:color="B8D3AA"/>
              <w:bottom w:val="single" w:sz="5" w:color="B8D3AA"/>
              <w:right w:val="single" w:sz="5" w:color="B8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D5E20"/>
                <w:sz w:val="16"/>
              </w:rPr>
              <w:t>GOUVERNANCE</w:t>
            </w:r>
          </w:p>
        </w:tc>
        <w:tc>
          <w:tcPr>
            <w:tcW w:type="dxa" w:w="2062"/>
            <w:shd w:fill="EAF3E5"/>
            <w:tcBorders>
              <w:top w:val="single" w:sz="5" w:color="B8D3AA"/>
              <w:left w:val="single" w:sz="5" w:color="B8D3AA"/>
              <w:bottom w:val="single" w:sz="5" w:color="B8D3AA"/>
              <w:right w:val="single" w:sz="5" w:color="B8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D5E20"/>
                <w:sz w:val="16"/>
              </w:rPr>
              <w:t>CTO / DSI</w:t>
            </w:r>
          </w:p>
        </w:tc>
        <w:tc>
          <w:tcPr>
            <w:tcW w:type="dxa" w:w="2062"/>
            <w:shd w:fill="EAF3E5"/>
            <w:tcBorders>
              <w:top w:val="single" w:sz="5" w:color="B8D3AA"/>
              <w:left w:val="single" w:sz="5" w:color="B8D3AA"/>
              <w:bottom w:val="single" w:sz="5" w:color="B8D3AA"/>
              <w:right w:val="single" w:sz="5" w:color="B8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D5E20"/>
                <w:sz w:val="16"/>
              </w:rPr>
              <w:t>PRODUIT</w:t>
            </w:r>
          </w:p>
        </w:tc>
        <w:tc>
          <w:tcPr>
            <w:tcW w:type="dxa" w:w="2062"/>
            <w:shd w:fill="EAF3E5"/>
            <w:tcBorders>
              <w:top w:val="single" w:sz="5" w:color="B8D3AA"/>
              <w:left w:val="single" w:sz="5" w:color="B8D3AA"/>
              <w:bottom w:val="single" w:sz="5" w:color="B8D3AA"/>
              <w:right w:val="single" w:sz="5" w:color="B8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D5E20"/>
                <w:sz w:val="16"/>
              </w:rPr>
              <w:t>FILIÈRES</w:t>
            </w:r>
          </w:p>
        </w:tc>
        <w:tc>
          <w:tcPr>
            <w:tcW w:type="dxa" w:w="2062"/>
            <w:shd w:fill="EAF3E5"/>
            <w:tcBorders>
              <w:top w:val="single" w:sz="5" w:color="B8D3AA"/>
              <w:left w:val="single" w:sz="5" w:color="B8D3AA"/>
              <w:bottom w:val="single" w:sz="5" w:color="B8D3AA"/>
              <w:right w:val="single" w:sz="5" w:color="B8D3AA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D5E20"/>
                <w:sz w:val="16"/>
              </w:rPr>
              <w:t>IA</w:t>
            </w:r>
          </w:p>
        </w:tc>
      </w:tr>
    </w:tbl>
    <w:p>
      <w:r>
        <w:rPr>
          <w:rFonts w:ascii="Aptos" w:hAnsi="Aptos"/>
          <w:b/>
          <w:i w:val="0"/>
          <w:color w:val="1C6A73"/>
          <w:sz w:val="18"/>
        </w:rPr>
        <w:t xml:space="preserve">Objectif — </w:t>
      </w:r>
      <w:r>
        <w:rPr>
          <w:rFonts w:ascii="Aptos" w:hAnsi="Aptos"/>
          <w:b w:val="0"/>
          <w:i w:val="0"/>
          <w:color w:val="39434C"/>
          <w:sz w:val="18"/>
        </w:rPr>
        <w:t>Démontrer le contrat de données et la génération de la note.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1F7"/>
            <w:tcBorders>
              <w:top w:val="single" w:sz="8" w:color="1C6A73"/>
              <w:left w:val="single" w:sz="8" w:color="1C6A73"/>
              <w:bottom w:val="single" w:sz="8" w:color="1C6A73"/>
              <w:right w:val="single" w:sz="8" w:color="1C6A73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19"/>
              </w:rPr>
              <w:t>Statut du document</w:t>
            </w:r>
          </w:p>
          <w:p>
            <w:r>
              <w:rPr>
                <w:rFonts w:ascii="Aptos" w:hAnsi="Aptos"/>
                <w:b w:val="0"/>
                <w:i w:val="0"/>
                <w:color w:val="39434C"/>
                <w:sz w:val="18"/>
              </w:rPr>
              <w:t>21 juillet 2026 — Exemple historique non officiel. Les rôles, relations et sources doivent être revalidés à la date d’usage.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Synthèse exécutive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3E5"/>
            <w:tcBorders>
              <w:top w:val="single" w:sz="8" w:color="4D8F2A"/>
              <w:left w:val="single" w:sz="8" w:color="4D8F2A"/>
              <w:bottom w:val="single" w:sz="8" w:color="4D8F2A"/>
              <w:right w:val="single" w:sz="8" w:color="4D8F2A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19"/>
              </w:rPr>
              <w:t>Conclusion</w:t>
            </w:r>
          </w:p>
          <w:p>
            <w:r>
              <w:rPr>
                <w:rFonts w:ascii="Aptos" w:hAnsi="Aptos"/>
                <w:b w:val="0"/>
                <w:i w:val="0"/>
                <w:color w:val="39434C"/>
                <w:sz w:val="18"/>
              </w:rPr>
              <w:t>La gouvernance technologique apparaît fédérée et en transition. Les responsabilités groupe, services mutualisés et filiales doivent être distinguées, tandis que le titulaire de certaines fonctions critiques reste non établi publiquement.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Point</w:t>
            </w:r>
          </w:p>
        </w:tc>
        <w:tc>
          <w:tcPr>
            <w:tcW w:type="dxa" w:w="5156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Lecture</w:t>
            </w:r>
          </w:p>
        </w:tc>
      </w:tr>
      <w:tr>
        <w:trPr>
          <w:cantSplit/>
        </w:trPr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Centre de gravité</w:t>
            </w:r>
          </w:p>
        </w:tc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La direction générale arbitre la transformation ; les capacités technologiques sont distribuées.</w:t>
            </w:r>
          </w:p>
        </w:tc>
      </w:tr>
      <w:tr>
        <w:trPr>
          <w:cantSplit/>
        </w:trPr>
        <w:tc>
          <w:tcPr>
            <w:tcW w:type="dxa" w:w="5156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Tech groupe</w:t>
            </w:r>
          </w:p>
        </w:tc>
        <w:tc>
          <w:tcPr>
            <w:tcW w:type="dxa" w:w="5156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Un rôle de CTO global de transition est visible dans les sources de l’exemple.</w:t>
            </w:r>
          </w:p>
        </w:tc>
      </w:tr>
      <w:tr>
        <w:trPr>
          <w:cantSplit/>
        </w:trPr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Zone d’ombre</w:t>
            </w:r>
          </w:p>
        </w:tc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Le titulaire et le périmètre exacts du DSI Groupe restent à confirmer.</w:t>
            </w:r>
          </w:p>
        </w:tc>
      </w:tr>
    </w:tbl>
    <w:p>
      <w:pPr>
        <w:spacing w:after="20"/>
      </w:pPr>
    </w:p>
    <w:p>
      <w:pPr>
        <w:pStyle w:val="Heading1"/>
      </w:pPr>
      <w:r>
        <w:t>Méthode et confiance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C6A7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Niveau</w:t>
            </w:r>
          </w:p>
        </w:tc>
        <w:tc>
          <w:tcPr>
            <w:tcW w:type="dxa" w:w="5156"/>
            <w:shd w:fill="1C6A73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Signification</w:t>
            </w:r>
          </w:p>
        </w:tc>
      </w:tr>
      <w:tr>
        <w:trPr>
          <w:cantSplit/>
        </w:trPr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Confirmé</w:t>
            </w:r>
          </w:p>
        </w:tc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Source directe, officielle ou explicite et suffisamment récente.</w:t>
            </w:r>
          </w:p>
        </w:tc>
      </w:tr>
      <w:tr>
        <w:trPr>
          <w:cantSplit/>
        </w:trPr>
        <w:tc>
          <w:tcPr>
            <w:tcW w:type="dxa" w:w="5156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Probable</w:t>
            </w:r>
          </w:p>
        </w:tc>
        <w:tc>
          <w:tcPr>
            <w:tcW w:type="dxa" w:w="5156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Plusieurs indices publics cohérents sans validation interne.</w:t>
            </w:r>
          </w:p>
        </w:tc>
      </w:tr>
      <w:tr>
        <w:trPr>
          <w:cantSplit/>
        </w:trPr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À confirmer</w:t>
            </w:r>
          </w:p>
        </w:tc>
        <w:tc>
          <w:tcPr>
            <w:tcW w:type="dxa" w:w="5156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6"/>
              </w:rPr>
              <w:t>Rôle, périmètre ou relation insuffisamment documenté.</w:t>
            </w:r>
          </w:p>
        </w:tc>
      </w:tr>
    </w:tbl>
    <w:p>
      <w:pPr>
        <w:spacing w:after="20"/>
      </w:pP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Séparer mandats légaux, rôles opérationnels et relations inférées.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Les pointillés représentent une relation fonctionnelle ou probable.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L’absence de nom ne signifie pas l’absence de fonction.</w:t>
      </w:r>
    </w:p>
    <w:p>
      <w:pPr>
        <w:pStyle w:val="Heading1"/>
      </w:pPr>
      <w:r>
        <w:t>1. Structure juridique et portefeuille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Niveau</w:t>
            </w:r>
          </w:p>
        </w:tc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Rôle reconstitué</w:t>
            </w:r>
          </w:p>
        </w:tc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Entités / exemples</w:t>
            </w:r>
          </w:p>
        </w:tc>
      </w:tr>
      <w:tr>
        <w:trPr>
          <w:cantSplit/>
        </w:trPr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Holding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Gouvernance capitalistique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Groupe ISA</w:t>
            </w:r>
          </w:p>
        </w:tc>
      </w:tr>
      <w:tr>
        <w:trPr>
          <w:cantSplit/>
        </w:trPr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Services mutualisés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Fonctions groupe et technologie transverse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Groupe ISAGRI Services</w:t>
            </w:r>
          </w:p>
        </w:tc>
      </w:tr>
      <w:tr>
        <w:trPr>
          <w:cantSplit/>
        </w:trPr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Cœur opérationnel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Logiciels agricoles et comptables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ISAGRI et entités associées</w:t>
            </w:r>
          </w:p>
        </w:tc>
      </w:tr>
      <w:tr>
        <w:trPr>
          <w:cantSplit/>
        </w:trPr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Filières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Roadmaps verticales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AKANEA, KERHIS, IRIUM, AGIRIS</w:t>
            </w:r>
          </w:p>
        </w:tc>
      </w:tr>
    </w:tbl>
    <w:p>
      <w:pPr>
        <w:spacing w:after="20"/>
      </w:pPr>
    </w:p>
    <w:p>
      <w:pPr>
        <w:pStyle w:val="Heading1"/>
      </w:pPr>
      <w:r>
        <w:t>2. Organigramme de gouvernance et technologie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3999" cy="4529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29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Note"/>
      </w:pPr>
      <w:r>
        <w:t>Organigramme analytique reconstitué. Les pointillés indiquent une relation fonctionnelle ou probable.</w:t>
      </w:r>
    </w:p>
    <w:p>
      <w:pPr>
        <w:pStyle w:val="Heading2"/>
      </w:pPr>
      <w:r>
        <w:t>Lecture des pouvoirs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Acteur</w:t>
            </w:r>
          </w:p>
        </w:tc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Pouvoir probable</w:t>
            </w:r>
          </w:p>
        </w:tc>
        <w:tc>
          <w:tcPr>
            <w:tcW w:type="dxa" w:w="3437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Question de qualification</w:t>
            </w:r>
          </w:p>
        </w:tc>
      </w:tr>
      <w:tr>
        <w:trPr>
          <w:cantSplit/>
        </w:trPr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Direction générale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Arbitrage stratégique et ressources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Quel résultat justifie un pilote groupe ?</w:t>
            </w:r>
          </w:p>
        </w:tc>
      </w:tr>
      <w:tr>
        <w:trPr>
          <w:cantSplit/>
        </w:trPr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CTO global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Transformation du portefeuille technologique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Quelle roadmap concentre le risque de delivery ?</w:t>
            </w:r>
          </w:p>
        </w:tc>
      </w:tr>
      <w:tr>
        <w:trPr>
          <w:cantSplit/>
        </w:trPr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DSI Groupe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SI interne, sécurité et services partagés</w:t>
            </w:r>
          </w:p>
        </w:tc>
        <w:tc>
          <w:tcPr>
            <w:tcW w:type="dxa" w:w="3437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Quels contrôles conditionnent l’industrialisation ?</w:t>
            </w:r>
          </w:p>
        </w:tc>
      </w:tr>
      <w:tr>
        <w:trPr>
          <w:cantSplit/>
        </w:trPr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R&amp;D / Produit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Backlog, architecture locale et valeur client</w:t>
            </w:r>
          </w:p>
        </w:tc>
        <w:tc>
          <w:tcPr>
            <w:tcW w:type="dxa" w:w="3437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Quel périmètre permet une preuve mesurable ?</w:t>
            </w:r>
          </w:p>
        </w:tc>
      </w:tr>
    </w:tbl>
    <w:p>
      <w:pPr>
        <w:spacing w:after="20"/>
      </w:pPr>
    </w:p>
    <w:p>
      <w:pPr>
        <w:pStyle w:val="Heading1"/>
      </w:pPr>
      <w:r>
        <w:t>3. RACI indicatif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Décision</w:t>
            </w:r>
          </w:p>
        </w:tc>
        <w:tc>
          <w:tcPr>
            <w:tcW w:type="dxa" w:w="2062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DG</w:t>
            </w:r>
          </w:p>
        </w:tc>
        <w:tc>
          <w:tcPr>
            <w:tcW w:type="dxa" w:w="2062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CTO</w:t>
            </w:r>
          </w:p>
        </w:tc>
        <w:tc>
          <w:tcPr>
            <w:tcW w:type="dxa" w:w="2062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DSI</w:t>
            </w:r>
          </w:p>
        </w:tc>
        <w:tc>
          <w:tcPr>
            <w:tcW w:type="dxa" w:w="2062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R&amp;D / Produit</w:t>
            </w:r>
          </w:p>
        </w:tc>
      </w:tr>
      <w:tr>
        <w:trPr>
          <w:cantSplit/>
        </w:trPr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Priorités de transformation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Standards d’architecture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I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A/R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Sécurité, accès et données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I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A/R</w:t>
            </w:r>
          </w:p>
        </w:tc>
        <w:tc>
          <w:tcPr>
            <w:tcW w:type="dxa" w:w="2062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</w:tr>
      <w:tr>
        <w:trPr>
          <w:cantSplit/>
        </w:trPr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Pilotage d’un produit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I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</w:t>
            </w:r>
          </w:p>
        </w:tc>
        <w:tc>
          <w:tcPr>
            <w:tcW w:type="dxa" w:w="2062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A/R</w:t>
            </w:r>
          </w:p>
        </w:tc>
      </w:tr>
    </w:tbl>
    <w:p>
      <w:pPr>
        <w:spacing w:after="20"/>
      </w:pPr>
    </w:p>
    <w:p>
      <w:pPr>
        <w:pStyle w:val="SourceNote"/>
      </w:pPr>
      <w:r>
        <w:t>RACI hypothétique à valider.</w:t>
      </w:r>
    </w:p>
    <w:p>
      <w:pPr>
        <w:pStyle w:val="Heading1"/>
      </w:pPr>
      <w:r>
        <w:t>4. Fiches décideurs et responsables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1F7"/>
            <w:tcBorders>
              <w:top w:val="single" w:sz="8" w:color="1C6A73"/>
              <w:left w:val="single" w:sz="8" w:color="1C6A73"/>
              <w:bottom w:val="single" w:sz="8" w:color="1C6A73"/>
              <w:right w:val="single" w:sz="8" w:color="1C6A73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19"/>
              </w:rPr>
              <w:t>Précaution</w:t>
            </w:r>
          </w:p>
          <w:p>
            <w:r>
              <w:rPr>
                <w:rFonts w:ascii="Aptos" w:hAnsi="Aptos"/>
                <w:b w:val="0"/>
                <w:i w:val="0"/>
                <w:color w:val="39434C"/>
                <w:sz w:val="18"/>
              </w:rPr>
              <w:t>Revalider le rôle et l’activité récente avant toute approche nominative.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FFFFFF"/>
            <w:tcBorders>
              <w:top w:val="single" w:sz="8" w:color="4D8F2A"/>
              <w:left w:val="single" w:sz="8" w:color="4D8F2A"/>
              <w:bottom w:val="single" w:sz="8" w:color="4D8F2A"/>
              <w:right w:val="single" w:sz="8" w:color="4D8F2A"/>
            </w:tcBorders>
            <w:tcMar>
              <w:top w:w="110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20"/>
              </w:rPr>
              <w:t>Jean-Marc Fernandez</w:t>
            </w:r>
          </w:p>
          <w:p>
            <w:r>
              <w:rPr>
                <w:rFonts w:ascii="Aptos" w:hAnsi="Aptos"/>
                <w:b/>
                <w:i w:val="0"/>
                <w:color w:val="2D5E20"/>
                <w:sz w:val="17"/>
              </w:rPr>
              <w:t>Interim Global CTO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Périmètre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Groupe ISAGRI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Ancienneté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Mission publique en 2026 dans l’exemple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Expérience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Direction technologique de transition et transformation SaaS.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Expertise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Operating model, gouvernance tech, portefeuille.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Communication IA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Communication publique technologique ; portée IA à confirmer.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Confiance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Confirmé sur le profil ; périmètre interne à confirmer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Dernière vérification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2026-07-21</w:t>
            </w:r>
          </w:p>
          <w:p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Sources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S01</w:t>
            </w:r>
          </w:p>
        </w:tc>
        <w:tc>
          <w:tcPr>
            <w:tcW w:type="dxa" w:w="5156"/>
            <w:shd w:fill="FFFFFF"/>
            <w:tcBorders>
              <w:top w:val="single" w:sz="8" w:color="4D8F2A"/>
              <w:left w:val="single" w:sz="8" w:color="4D8F2A"/>
              <w:bottom w:val="single" w:sz="8" w:color="4D8F2A"/>
              <w:right w:val="single" w:sz="8" w:color="4D8F2A"/>
            </w:tcBorders>
            <w:tcMar>
              <w:top w:w="110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20"/>
              </w:rPr>
              <w:t>DSI Groupe — titulaire non confirmé</w:t>
            </w:r>
          </w:p>
          <w:p>
            <w:r>
              <w:rPr>
                <w:rFonts w:ascii="Aptos" w:hAnsi="Aptos"/>
                <w:b/>
                <w:i w:val="0"/>
                <w:color w:val="2D5E20"/>
                <w:sz w:val="17"/>
              </w:rPr>
              <w:t>Directeur des systèmes d’information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Périmètre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Groupe ISAGRI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Ancienneté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À confirmer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Expérience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Fonction mentionnée, identité non établie dans l’exemple réduit.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Expertise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SI, sécurité, outils et services partagés.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Communication IA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Non évaluable.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Confiance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À confirmer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Dernière vérification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2026-07-21</w:t>
            </w:r>
          </w:p>
          <w:p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Sources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S02</w:t>
            </w:r>
          </w:p>
        </w:tc>
      </w:tr>
      <w:tr>
        <w:trPr>
          <w:cantSplit/>
        </w:trPr>
        <w:tc>
          <w:tcPr>
            <w:tcW w:type="dxa" w:w="5156"/>
            <w:shd w:fill="FFFFFF"/>
            <w:tcBorders>
              <w:top w:val="single" w:sz="8" w:color="4D8F2A"/>
              <w:left w:val="single" w:sz="8" w:color="4D8F2A"/>
              <w:bottom w:val="single" w:sz="8" w:color="4D8F2A"/>
              <w:right w:val="single" w:sz="8" w:color="4D8F2A"/>
            </w:tcBorders>
            <w:tcMar>
              <w:top w:w="110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20"/>
              </w:rPr>
              <w:t>Frédéric Chaillot</w:t>
            </w:r>
          </w:p>
          <w:p>
            <w:r>
              <w:rPr>
                <w:rFonts w:ascii="Aptos" w:hAnsi="Aptos"/>
                <w:b/>
                <w:i w:val="0"/>
                <w:color w:val="2D5E20"/>
                <w:sz w:val="17"/>
              </w:rPr>
              <w:t>CTO Groupe ISAGRI Services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Périmètre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Technologies mutualisées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Ancienneté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À revalider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Expérience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Gouvernance technique transverse et transformation.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Expertise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Architecture, plateformes, standards.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Communication IA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Communication directe observée dans le workflow de référence.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Confiance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Confirmé</w:t>
            </w:r>
          </w:p>
          <w:p>
            <w:pPr>
              <w:spacing w:after="30"/>
            </w:pPr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Dernière vérification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2026-07-21</w:t>
            </w:r>
          </w:p>
          <w:p>
            <w:r>
              <w:rPr>
                <w:rFonts w:ascii="Aptos" w:hAnsi="Aptos"/>
                <w:b/>
                <w:i w:val="0"/>
                <w:color w:val="1C6A73"/>
                <w:sz w:val="14"/>
              </w:rPr>
              <w:t xml:space="preserve">Sources : </w:t>
            </w:r>
            <w:r>
              <w:rPr>
                <w:rFonts w:ascii="Aptos" w:hAnsi="Aptos"/>
                <w:b w:val="0"/>
                <w:i w:val="0"/>
                <w:color w:val="39434C"/>
                <w:sz w:val="14"/>
              </w:rPr>
              <w:t>S03</w:t>
            </w:r>
          </w:p>
        </w:tc>
        <w:tc>
          <w:tcPr>
            <w:tcW w:type="dxa" w:w="5156"/>
            <w:shd w:fill="FFFFFF"/>
          </w:tcPr>
          <w:p/>
        </w:tc>
      </w:tr>
    </w:tbl>
    <w:p>
      <w:pPr>
        <w:pStyle w:val="Heading1"/>
      </w:pPr>
      <w:r>
        <w:t>5. Cartographie d’influence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Cercle</w:t>
            </w:r>
          </w:p>
        </w:tc>
        <w:tc>
          <w:tcPr>
            <w:tcW w:type="dxa" w:w="2578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Personnes / fonctions</w:t>
            </w:r>
          </w:p>
        </w:tc>
        <w:tc>
          <w:tcPr>
            <w:tcW w:type="dxa" w:w="2578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Rôle</w:t>
            </w:r>
          </w:p>
        </w:tc>
        <w:tc>
          <w:tcPr>
            <w:tcW w:type="dxa" w:w="2578"/>
            <w:shd w:fill="18324B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Angle</w:t>
            </w:r>
          </w:p>
        </w:tc>
      </w:tr>
      <w:tr>
        <w:trPr>
          <w:cantSplit/>
        </w:trPr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Sponsor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Direction générale / CTO global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Légitime le pilote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Transformation et résultats</w:t>
            </w:r>
          </w:p>
        </w:tc>
      </w:tr>
      <w:tr>
        <w:trPr>
          <w:cantSplit/>
        </w:trPr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Terrain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CTO, R&amp;D et produit de la filière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Fournit backlog et équipe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Risque de roadmap</w:t>
            </w:r>
          </w:p>
        </w:tc>
      </w:tr>
      <w:tr>
        <w:trPr>
          <w:cantSplit/>
        </w:trPr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Contrôle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DSI, sécurité, cloud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Valide les conditions de scale</w:t>
            </w:r>
          </w:p>
        </w:tc>
        <w:tc>
          <w:tcPr>
            <w:tcW w:type="dxa" w:w="2578"/>
            <w:shd w:fill="F2F4F6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Accès, logs, réversibilité</w:t>
            </w:r>
          </w:p>
        </w:tc>
      </w:tr>
      <w:tr>
        <w:trPr>
          <w:cantSplit/>
        </w:trPr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Valeur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Produit, support, finance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Quantifie l’impact</w:t>
            </w:r>
          </w:p>
        </w:tc>
        <w:tc>
          <w:tcPr>
            <w:tcW w:type="dxa" w:w="2578"/>
            <w:shd w:fill="FFFFFF"/>
            <w:tcBorders>
              <w:top w:val="single" w:sz="4" w:color="D7DCE0"/>
              <w:left w:val="single" w:sz="4" w:color="D7DCE0"/>
              <w:bottom w:val="single" w:sz="4" w:color="D7DCE0"/>
              <w:right w:val="single" w:sz="4" w:color="D7DCE0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 w:val="0"/>
                <w:i w:val="0"/>
                <w:color w:val="39434C"/>
                <w:sz w:val="15"/>
              </w:rPr>
              <w:t>Time-to-market et qualité</w:t>
            </w:r>
          </w:p>
        </w:tc>
      </w:tr>
    </w:tbl>
    <w:p>
      <w:pPr>
        <w:spacing w:after="20"/>
      </w:pPr>
    </w:p>
    <w:p>
      <w:pPr>
        <w:pStyle w:val="Heading2"/>
      </w:pPr>
      <w:r>
        <w:t>Ordre de contact recommandé</w:t>
      </w:r>
    </w:p>
    <w:p>
      <w:pPr>
        <w:pStyle w:val="ListNumber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Valider le sponsor de transformation.</w:t>
      </w:r>
    </w:p>
    <w:p>
      <w:pPr>
        <w:pStyle w:val="ListNumber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Choisir une roadmap et son propriétaire.</w:t>
      </w:r>
    </w:p>
    <w:p>
      <w:pPr>
        <w:pStyle w:val="ListNumber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Associer plateforme, sécurité et contrôle.</w:t>
      </w:r>
    </w:p>
    <w:p>
      <w:pPr>
        <w:pStyle w:val="ListNumber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Faire confirmer la valeur par produit et support.</w:t>
      </w:r>
    </w:p>
    <w:p>
      <w:pPr>
        <w:pStyle w:val="Heading1"/>
      </w:pPr>
      <w:r>
        <w:t>6. Zones à confirmer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Titulaire et périmètre du DSI Groupe.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Durée du mandat de transition du CTO global.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Relations hiérarchiques exactes entre groupe et filiales.</w:t>
      </w:r>
    </w:p>
    <w:p>
      <w:pPr>
        <w:pStyle w:val="ListBullet"/>
        <w:spacing w:after="44"/>
      </w:pPr>
      <w:r>
        <w:rPr>
          <w:rFonts w:ascii="Aptos" w:hAnsi="Aptos"/>
          <w:b w:val="0"/>
          <w:i w:val="0"/>
          <w:color w:val="39434C"/>
          <w:sz w:val="18"/>
        </w:rPr>
        <w:t>Droits de décision du dispositif IA transverse.</w:t>
      </w:r>
    </w:p>
    <w:p>
      <w:r>
        <w:br w:type="page"/>
      </w:r>
    </w:p>
    <w:p>
      <w:pPr>
        <w:pStyle w:val="Heading1"/>
      </w:pPr>
      <w:r>
        <w:t>Sources et méthode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1F7"/>
            <w:tcBorders>
              <w:top w:val="single" w:sz="8" w:color="1C6A73"/>
              <w:left w:val="single" w:sz="8" w:color="1C6A73"/>
              <w:bottom w:val="single" w:sz="8" w:color="1C6A73"/>
              <w:right w:val="single" w:sz="8" w:color="1C6A73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8324B"/>
                <w:sz w:val="19"/>
              </w:rPr>
              <w:t>Règle de lecture</w:t>
            </w:r>
          </w:p>
          <w:p>
            <w:r>
              <w:rPr>
                <w:rFonts w:ascii="Aptos" w:hAnsi="Aptos"/>
                <w:b w:val="0"/>
                <w:i w:val="0"/>
                <w:color w:val="39434C"/>
                <w:sz w:val="18"/>
              </w:rPr>
              <w:t>Mandats légaux, rôles publics et relations inférées restent des catégories distinctes.</w:t>
            </w:r>
          </w:p>
        </w:tc>
      </w:tr>
    </w:tbl>
    <w:p>
      <w:pPr>
        <w:spacing w:after="20"/>
      </w:pPr>
    </w:p>
    <w:p>
      <w:pPr>
        <w:pStyle w:val="SourceNote"/>
      </w:pPr>
      <w:r>
        <w:rPr>
          <w:rFonts w:ascii="Aptos" w:hAnsi="Aptos"/>
          <w:b/>
          <w:i w:val="0"/>
          <w:color w:val="18324B"/>
          <w:sz w:val="15"/>
        </w:rPr>
        <w:t xml:space="preserve">S01 — Profil public — Interim Global CTO. </w:t>
      </w:r>
      <w:r>
        <w:rPr>
          <w:rFonts w:ascii="Aptos" w:hAnsi="Aptos"/>
          <w:b w:val="0"/>
          <w:i w:val="0"/>
          <w:color w:val="39434C"/>
          <w:sz w:val="15"/>
        </w:rPr>
        <w:t xml:space="preserve">LinkedIn 2026-07-21. </w:t>
      </w:r>
      <w:hyperlink r:id="rId12">
        <w:r>
          <w:rPr>
            <w:color w:val="0563C1"/>
          </w:rPr>
          <w:t>https://fr.linkedin.com/in/jmarcfernandez</w:t>
        </w:r>
      </w:hyperlink>
    </w:p>
    <w:p>
      <w:pPr>
        <w:pStyle w:val="SourceNote"/>
      </w:pPr>
      <w:r>
        <w:rPr>
          <w:rFonts w:ascii="Aptos" w:hAnsi="Aptos"/>
          <w:b/>
          <w:i w:val="0"/>
          <w:color w:val="18324B"/>
          <w:sz w:val="15"/>
        </w:rPr>
        <w:t xml:space="preserve">S02 — Annonce mentionnant la fonction DSI Groupe. </w:t>
      </w:r>
      <w:r>
        <w:rPr>
          <w:rFonts w:ascii="Aptos" w:hAnsi="Aptos"/>
          <w:b w:val="0"/>
          <w:i w:val="0"/>
          <w:color w:val="39434C"/>
          <w:sz w:val="15"/>
        </w:rPr>
        <w:t xml:space="preserve">Source de l’exemple 2026-07-21. </w:t>
      </w:r>
      <w:hyperlink r:id="rId13">
        <w:r>
          <w:rPr>
            <w:color w:val="0563C1"/>
          </w:rPr>
          <w:t>https://emploi.isagri.fr/</w:t>
        </w:r>
      </w:hyperlink>
    </w:p>
    <w:p>
      <w:pPr>
        <w:pStyle w:val="SourceNote"/>
      </w:pPr>
      <w:r>
        <w:rPr>
          <w:rFonts w:ascii="Aptos" w:hAnsi="Aptos"/>
          <w:b/>
          <w:i w:val="0"/>
          <w:color w:val="18324B"/>
          <w:sz w:val="15"/>
        </w:rPr>
        <w:t xml:space="preserve">S03 — Profil public — CTO Groupe ISAGRI Services. </w:t>
      </w:r>
      <w:r>
        <w:rPr>
          <w:rFonts w:ascii="Aptos" w:hAnsi="Aptos"/>
          <w:b w:val="0"/>
          <w:i w:val="0"/>
          <w:color w:val="39434C"/>
          <w:sz w:val="15"/>
        </w:rPr>
        <w:t xml:space="preserve">LinkedIn 2026-07-21. </w:t>
      </w:r>
      <w:hyperlink r:id="rId14">
        <w:r>
          <w:rPr>
            <w:color w:val="0563C1"/>
          </w:rPr>
          <w:t>https://fr.linkedin.com/in/frederic-chaillot-49873a42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</w:tcPr>
        <w:p>
          <w:r>
            <w:rPr>
              <w:rFonts w:ascii="Aptos" w:hAnsi="Aptos"/>
              <w:b w:val="0"/>
              <w:i w:val="0"/>
              <w:color w:val="77828B"/>
              <w:sz w:val="14"/>
            </w:rPr>
            <w:t>Analyse externe — organigramme reconstitué, non officiel</w:t>
          </w:r>
        </w:p>
      </w:tc>
      <w:tc>
        <w:tcPr>
          <w:tcW w:type="dxa" w:w="4989"/>
        </w:tcPr>
        <w:p>
          <w:pPr>
            <w:jc w:val="right"/>
          </w:pP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18324B"/>
        <w:sz w:val="15"/>
      </w:rPr>
      <w:t>ISAGRI — Organisation Tech</w:t>
    </w:r>
    <w:r>
      <w:rPr>
        <w:rFonts w:ascii="Aptos" w:hAnsi="Aptos"/>
        <w:b w:val="0"/>
        <w:i w:val="0"/>
        <w:color w:val="6C7780"/>
        <w:sz w:val="15"/>
      </w:rPr>
      <w:t xml:space="preserve">  |  Sources publiques — 21 juillet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39434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D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rPr>
      <w:rFonts w:ascii="Aptos" w:hAnsi="Aptos"/>
      <w:color w:val="67727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r.linkedin.com/in/jmarcfernandez" TargetMode="External"/><Relationship Id="rId13" Type="http://schemas.openxmlformats.org/officeDocument/2006/relationships/hyperlink" Target="https://emploi.isagri.fr/" TargetMode="External"/><Relationship Id="rId14" Type="http://schemas.openxmlformats.org/officeDocument/2006/relationships/hyperlink" Target="https://fr.linkedin.com/in/frederic-chaillot-49873a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