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360"/>
        <w:jc w:val="center"/>
      </w:pPr>
      <w:r>
        <w:rPr>
          <w:rFonts w:ascii="Calibri" w:hAnsi="Calibri"/>
          <w:b/>
          <w:color w:val="966F20"/>
          <w:sz w:val="20"/>
        </w:rPr>
        <w:t>FRESQUE HISTORICO-GÉOGRAPHIQUE · VOLUME 2</w:t>
      </w:r>
    </w:p>
    <w:p>
      <w:pPr>
        <w:spacing w:after="200"/>
        <w:jc w:val="center"/>
      </w:pPr>
      <w:r>
        <w:rPr>
          <w:rFonts w:ascii="Calibri" w:hAnsi="Calibri"/>
          <w:b/>
          <w:color w:val="203748"/>
          <w:sz w:val="60"/>
        </w:rPr>
        <w:t>Sri Lanka 1948–2026</w:t>
      </w:r>
    </w:p>
    <w:p>
      <w:pPr>
        <w:spacing w:after="1600"/>
        <w:jc w:val="center"/>
      </w:pPr>
      <w:r>
        <w:rPr>
          <w:rFonts w:ascii="Calibri" w:hAnsi="Calibri"/>
          <w:color w:val="1F4D78"/>
          <w:sz w:val="30"/>
        </w:rPr>
        <w:t>État, langue, caste, guerre, diaspora et conversion territoriale du capital humain</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6F9"/>
            <w:tcBorders>
              <w:top w:val="single" w:sz="4" w:color="D7DBE2"/>
              <w:bottom w:val="single" w:sz="4" w:color="D7DBE2"/>
            </w:tcBorders>
          </w:tcPr>
          <w:p>
            <w:pPr>
              <w:jc w:val="left"/>
            </w:pPr>
            <w:r>
              <w:rPr>
                <w:rFonts w:ascii="Calibri" w:hAnsi="Calibri"/>
                <w:b/>
                <w:color w:val="5C636C"/>
                <w:sz w:val="18"/>
              </w:rPr>
              <w:t>ÉDITION LECTEUR V2</w:t>
              <w:br/>
            </w:r>
            <w:r>
              <w:rPr>
                <w:rFonts w:ascii="Calibri" w:hAnsi="Calibri"/>
                <w:color w:val="203748"/>
                <w:sz w:val="19"/>
              </w:rPr>
              <w:t>Markdown canonique Run 5 · Storytelling Run 6</w:t>
            </w:r>
          </w:p>
        </w:tc>
        <w:tc>
          <w:tcPr>
            <w:tcW w:type="dxa" w:w="4680"/>
            <w:tcMar>
              <w:top w:w="80" w:type="dxa"/>
              <w:start w:w="120" w:type="dxa"/>
              <w:bottom w:w="80" w:type="dxa"/>
              <w:end w:w="120" w:type="dxa"/>
            </w:tcMar>
            <w:shd w:fill="F4F6F9"/>
            <w:tcBorders>
              <w:top w:val="single" w:sz="4" w:color="D7DBE2"/>
              <w:bottom w:val="single" w:sz="4" w:color="D7DBE2"/>
            </w:tcBorders>
          </w:tcPr>
          <w:p>
            <w:pPr>
              <w:jc w:val="right"/>
            </w:pPr>
            <w:r>
              <w:rPr>
                <w:rFonts w:ascii="Calibri" w:hAnsi="Calibri"/>
                <w:b/>
                <w:color w:val="5C636C"/>
                <w:sz w:val="18"/>
              </w:rPr>
              <w:t>18 AOÛT 2026</w:t>
              <w:br/>
            </w:r>
            <w:r>
              <w:rPr>
                <w:rFonts w:ascii="Calibri" w:hAnsi="Calibri"/>
                <w:color w:val="203748"/>
                <w:sz w:val="19"/>
              </w:rPr>
              <w:t>Version vérifiée et traçable</w:t>
            </w:r>
          </w:p>
        </w:tc>
      </w:tr>
    </w:tbl>
    <w:p>
      <w:pPr>
        <w:spacing w:before="1240"/>
        <w:jc w:val="center"/>
      </w:pPr>
      <w:r>
        <w:rPr>
          <w:rFonts w:ascii="Calibri" w:hAnsi="Calibri"/>
          <w:i/>
          <w:color w:val="5C636C"/>
          <w:sz w:val="20"/>
        </w:rPr>
        <w:t>Une lecture chronologique guidée par les lieux, les mécanismes et leurs sources.</w:t>
      </w:r>
    </w:p>
    <w:p>
      <w:r>
        <w:br w:type="page"/>
      </w:r>
    </w:p>
    <w:p>
      <w:pPr>
        <w:pStyle w:val="Heading1"/>
      </w:pPr>
      <w:r>
        <w:t>Repères de lecture</w:t>
      </w:r>
    </w:p>
    <w:p>
      <w:r>
        <w:rPr>
          <w:rFonts w:ascii="Calibri" w:hAnsi="Calibri"/>
        </w:rPr>
        <w:t>Cette édition conserve la chronologie comme colonne vertébrale. Les encadrés signalent un mécanisme, une fausse piste ou un changement d’échelle ; les identifiants entre crochets renvoient au registre de sources du projet.</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01  </w:t>
            </w:r>
            <w:r>
              <w:rPr>
                <w:rFonts w:ascii="Calibri" w:hAnsi="Calibri"/>
              </w:rPr>
              <w:t>1948 : qui hérite réellement de l'État colonial ?</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08  </w:t>
            </w:r>
            <w:r>
              <w:rPr>
                <w:rFonts w:ascii="Calibri" w:hAnsi="Calibri"/>
              </w:rPr>
              <w:t>Mariage et diaspora : reproduction sociale n'est pas coercition</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02  </w:t>
            </w:r>
            <w:r>
              <w:rPr>
                <w:rFonts w:ascii="Calibri" w:hAnsi="Calibri"/>
              </w:rPr>
              <w:t>1956 : décoloniser l'anglais, puis choisir qui accède à l'État</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09  </w:t>
            </w:r>
            <w:r>
              <w:rPr>
                <w:rFonts w:ascii="Calibri" w:hAnsi="Calibri"/>
              </w:rPr>
              <w:t>Indonésie : décolonisation linguistique sans langue de la majorité</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03  </w:t>
            </w:r>
            <w:r>
              <w:rPr>
                <w:rFonts w:ascii="Calibri" w:hAnsi="Calibri"/>
              </w:rPr>
              <w:t>La caste : non pas une cause totale, mais une infrastructure de reproduction sociale</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10  </w:t>
            </w:r>
            <w:r>
              <w:rPr>
                <w:rFonts w:ascii="Calibri" w:hAnsi="Calibri"/>
              </w:rPr>
              <w:t>Run 5 — le véritable comparateur : comment convertir un capital humain en développement territorial ?</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04  </w:t>
            </w:r>
            <w:r>
              <w:rPr>
                <w:rFonts w:ascii="Calibri" w:hAnsi="Calibri"/>
              </w:rPr>
              <w:t>Années 1970 : l'université transforme le capital scolaire en conflit distributif</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11  </w:t>
            </w:r>
            <w:r>
              <w:rPr>
                <w:rFonts w:ascii="Calibri" w:hAnsi="Calibri"/>
              </w:rPr>
              <w:t>Ce que la guerre change dans la comparaison</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05  </w:t>
            </w:r>
            <w:r>
              <w:rPr>
                <w:rFonts w:ascii="Calibri" w:hAnsi="Calibri"/>
              </w:rPr>
              <w:t>Tamil Nadu : une autre technologie de mobilité</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12  </w:t>
            </w:r>
            <w:r>
              <w:rPr>
                <w:rFonts w:ascii="Calibri" w:hAnsi="Calibri"/>
              </w:rPr>
              <w:t>« Apartheid » ou créolisation : mesurer des gateways communs</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06  </w:t>
            </w:r>
            <w:r>
              <w:rPr>
                <w:rFonts w:ascii="Calibri" w:hAnsi="Calibri"/>
              </w:rPr>
              <w:t>Gandhi, Ambedkar, Nehru : ne pas réduire l'Inde à un seul récit réformateur</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13  </w:t>
            </w:r>
            <w:r>
              <w:rPr>
                <w:rFonts w:ascii="Calibri" w:hAnsi="Calibri"/>
              </w:rPr>
              <w:t>Colombo, Bandung, Belgrade : souveraineté interne et externe</w:t>
            </w:r>
          </w:p>
        </w:tc>
      </w:tr>
      <w:tr>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07  </w:t>
            </w:r>
            <w:r>
              <w:rPr>
                <w:rFonts w:ascii="Calibri" w:hAnsi="Calibri"/>
              </w:rPr>
              <w:t>Guerre civile : discipliner les hiérarchies sans les abolir</w:t>
            </w:r>
          </w:p>
        </w:tc>
        <w:tc>
          <w:tcPr>
            <w:tcW w:type="dxa" w:w="4680"/>
            <w:tcMar>
              <w:top w:w="80" w:type="dxa"/>
              <w:start w:w="120" w:type="dxa"/>
              <w:bottom w:w="80" w:type="dxa"/>
              <w:end w:w="120" w:type="dxa"/>
            </w:tcMar>
            <w:tcBorders>
              <w:bottom w:val="single" w:sz="3" w:color="E1E6EC"/>
            </w:tcBorders>
          </w:tcPr>
          <w:p>
            <w:pPr>
              <w:keepLines/>
              <w:spacing w:after="60"/>
            </w:pPr>
            <w:r>
              <w:rPr>
                <w:rFonts w:ascii="Calibri" w:hAnsi="Calibri"/>
                <w:b/>
                <w:color w:val="966F20"/>
                <w:sz w:val="19"/>
              </w:rPr>
              <w:t xml:space="preserve">14  </w:t>
            </w:r>
            <w:r>
              <w:rPr>
                <w:rFonts w:ascii="Calibri" w:hAnsi="Calibri"/>
              </w:rPr>
              <w:t>La carte causale consolidée</w:t>
            </w:r>
          </w:p>
        </w:tc>
      </w:tr>
    </w:tbl>
    <w:p>
      <w:r>
        <w:br w:type="page"/>
      </w:r>
    </w:p>
    <w:p>
      <w:pPr>
        <w:pStyle w:val="Heading1"/>
      </w:pPr>
      <w:r>
        <w:rPr>
          <w:rFonts w:ascii="Calibri" w:hAnsi="Calibri"/>
        </w:rPr>
        <w:t>1. 1948 : qui hérite réellement de l'État colonial ?</w:t>
      </w:r>
    </w:p>
    <w:p>
      <w:r>
        <w:rPr>
          <w:rFonts w:ascii="Calibri" w:hAnsi="Calibri"/>
        </w:rPr>
        <w:t>L'indépendance ne part pas d'une page blanche. Le nouvel État hérite d'un territoire unifié, d'une administration anglophone, d'un système scolaire très inégalement réparti et de hiérarchies sociales que les administrations coloniales ont parfois codifiées sans les avoir inventées.</w:t>
      </w:r>
    </w:p>
    <w:p>
      <w:r>
        <w:rPr>
          <w:rFonts w:ascii="Calibri" w:hAnsi="Calibri"/>
        </w:rPr>
        <w:t>Jaffna est un cas décisif. Au XIXe siècle, missions protestantes, écoles, imprimerie et anglais y constituent un bassin de capital humain particulièrement dense. Des familles de la péninsule convertissent cette ressource en postes d'enseignants, médecins, avocats, ingénieurs, fonctionnaires et carrières impériales [CAMBRIDGE-ACM-EDU ; CAMBRIDGE-TWO-SOCIETIES].</w:t>
      </w:r>
    </w:p>
    <w:p>
      <w:r>
        <w:rPr>
          <w:rFonts w:ascii="Calibri" w:hAnsi="Calibri"/>
        </w:rPr>
        <w:t xml:space="preserve">Première correction : </w:t>
      </w:r>
      <w:r>
        <w:rPr>
          <w:rFonts w:ascii="Calibri" w:hAnsi="Calibri"/>
          <w:b/>
        </w:rPr>
        <w:t>les Tamouls de Ceylan ne sont pas simplement une minorité historiquement sous-représentée dans l'appareil colonial</w:t>
      </w:r>
      <w:r>
        <w:rPr>
          <w:rFonts w:ascii="Calibri" w:hAnsi="Calibri"/>
        </w:rPr>
        <w:t>. Certaines élites tamoules anglophones réussissent fortement dans les examens et professions [CAMBRIDGE-STATE-NATION]. Cela ne signifie ni contrôle de tout l'État ni égalité de pouvoir politique. Cela signifie que les réformes postcoloniales vont redistribuer un capital institutionnel déjà très inégalement distribué.</w:t>
      </w:r>
    </w:p>
    <w:p>
      <w:pPr>
        <w:pStyle w:val="Heading1"/>
      </w:pPr>
      <w:r>
        <w:rPr>
          <w:rFonts w:ascii="Calibri" w:hAnsi="Calibri"/>
        </w:rPr>
        <w:t>2. 1956 : décoloniser l'anglais, puis choisir qui accède à l'État</w:t>
      </w:r>
    </w:p>
    <w:p>
      <w:r>
        <w:rPr>
          <w:rFonts w:ascii="Calibri" w:hAnsi="Calibri"/>
        </w:rPr>
        <w:t xml:space="preserve">Lire </w:t>
      </w:r>
      <w:r>
        <w:rPr>
          <w:rFonts w:ascii="Calibri" w:hAnsi="Calibri"/>
          <w:i/>
        </w:rPr>
        <w:t>Sinhala Only</w:t>
      </w:r>
      <w:r>
        <w:rPr>
          <w:rFonts w:ascii="Calibri" w:hAnsi="Calibri"/>
        </w:rPr>
        <w:t xml:space="preserve"> comme une simple hostilité cinghalaise envers les Tamouls manque un mécanisme réel : l'anglais reste la langue de l'ancienne élite. Le remplacer répond aussi à une revendication démocratique postcoloniale — rendre l'État accessible à la majorité dans une langue locale [CAMBRIDGE-LANGUAGE-DECOLONIZATION].</w:t>
      </w:r>
    </w:p>
    <w:p>
      <w:r>
        <w:rPr>
          <w:rFonts w:ascii="Calibri" w:hAnsi="Calibri"/>
        </w:rPr>
        <w:t xml:space="preserve">Mais cette décolonisation aurait pu reconnaître </w:t>
      </w:r>
      <w:r>
        <w:rPr>
          <w:rFonts w:ascii="Calibri" w:hAnsi="Calibri"/>
          <w:b/>
        </w:rPr>
        <w:t>Sinhala + Tamil</w:t>
      </w:r>
      <w:r>
        <w:rPr>
          <w:rFonts w:ascii="Calibri" w:hAnsi="Calibri"/>
        </w:rPr>
        <w:t>. Le choix du cinghalais comme seule langue officielle superpose donc deux redistributions : ouverture de l'État à de nombreux Cinghalophones et fermeture relative d'un gateway pour les Tamilophones, particulièrement coûteuse dans une région ayant massivement investi dans l'anglais [CAMBRIDGE-LANGUAGE-JAFFNA].</w:t>
      </w:r>
    </w:p>
    <w:p>
      <w:r>
        <w:rPr>
          <w:rFonts w:ascii="Calibri" w:hAnsi="Calibri"/>
        </w:rPr>
        <w:t xml:space="preserve">L'anglais doit alors être traité comme </w:t>
      </w:r>
      <w:r>
        <w:rPr>
          <w:rFonts w:ascii="Calibri" w:hAnsi="Calibri"/>
          <w:b/>
        </w:rPr>
        <w:t>amplificateur de portabilité</w:t>
      </w:r>
      <w:r>
        <w:rPr>
          <w:rFonts w:ascii="Calibri" w:hAnsi="Calibri"/>
        </w:rPr>
        <w:t xml:space="preserve"> : utile pour enseignement supérieur, professions et économie internationale, mais insuffisant à lui seul pour expliquer une trajectoire de croissance [WORLD-BANK-ENGLISH-2014 ; CAMBRIDGE-INWARD-ECONOMY].</w:t>
      </w:r>
    </w:p>
    <w:p>
      <w:pPr>
        <w:pStyle w:val="Heading1"/>
      </w:pPr>
      <w:r>
        <w:rPr>
          <w:rFonts w:ascii="Calibri" w:hAnsi="Calibri"/>
        </w:rPr>
        <w:t>3. La caste : non pas une cause totale, mais une infrastructure de reproduction sociale</w:t>
      </w:r>
    </w:p>
    <w:p>
      <w:r>
        <w:rPr>
          <w:rFonts w:ascii="Calibri" w:hAnsi="Calibri"/>
        </w:rPr>
        <w:t>La nouvelle fresque conserve la caste comme axe vertical : statut, temple, propriété, réseaux, mariage, accès aux opportunités. Elle ne remplace ni la langue, ni la constitution, ni la guerre.</w:t>
      </w:r>
    </w:p>
    <w:p>
      <w:r>
        <w:rPr>
          <w:rFonts w:ascii="Calibri" w:hAnsi="Calibri"/>
        </w:rPr>
        <w:t xml:space="preserve">Sri Lanka a bien légiféré contre la discrimination de caste : le </w:t>
      </w:r>
      <w:r>
        <w:rPr>
          <w:rFonts w:ascii="Calibri" w:hAnsi="Calibri"/>
          <w:i/>
        </w:rPr>
        <w:t>Prevention of Social Disabilities Act</w:t>
      </w:r>
      <w:r>
        <w:rPr>
          <w:rFonts w:ascii="Calibri" w:hAnsi="Calibri"/>
        </w:rPr>
        <w:t xml:space="preserve"> de 1957 puis son amendement de 1971 renforcent l'interdiction et les sanctions [SRI-LANKA-SOCIAL-DISABILITIES-1957 ; SRI-LANKA-SOCIAL-DISABILITIES-1971]. Le contraste avec l'Inde n'est donc pas « réforme contre absence de réforme », mais </w:t>
      </w:r>
      <w:r>
        <w:rPr>
          <w:rFonts w:ascii="Calibri" w:hAnsi="Calibri"/>
          <w:b/>
        </w:rPr>
        <w:t>choix d'instruments</w:t>
      </w:r>
      <w:r>
        <w:rPr>
          <w:rFonts w:ascii="Calibri" w:hAnsi="Calibri"/>
        </w:rPr>
        <w:t xml:space="preserve"> : Sri Lanka délégitime juridiquement la caste alors que Tamil Nadu emploie aussi des catégories de caste pour redistribuer explicitement l'accès à l'éducation et à l'emploi public.</w:t>
      </w:r>
    </w:p>
    <w:p>
      <w:pPr>
        <w:pStyle w:val="Heading2"/>
      </w:pPr>
      <w:r>
        <w:rPr>
          <w:rFonts w:ascii="Calibri" w:hAnsi="Calibri"/>
        </w:rPr>
        <w:t>1968, Maviddapuram : quand deux clivages se superposent</w:t>
      </w:r>
    </w:p>
    <w:p>
      <w:r>
        <w:rPr>
          <w:rFonts w:ascii="Calibri" w:hAnsi="Calibri"/>
        </w:rPr>
        <w:t>Le conflit d'entrée au temple montre une caste encore politiquement vive dans le nord : militants notamment Pallar et Nalavar face à des défenseurs de statuts plus élevés [CAMBRIDGE-JAFFNA-TEMPLE-1968]. Pourtant, la détérioration du rapport entre Tamouls et État majoritaire augmente bientôt le rendement politique d'une identité tamoule commune.</w:t>
      </w:r>
    </w:p>
    <w:p>
      <w:r>
        <w:rPr>
          <w:rFonts w:ascii="Calibri" w:hAnsi="Calibri"/>
        </w:rPr>
        <w:t>Le bridge est donc :</w:t>
      </w:r>
    </w:p>
    <w:p>
      <w:pPr>
        <w:pStyle w:val="CausalCallout"/>
        <w:shd w:fill="F4F6F9"/>
        <w:pBdr>
          <w:left w:val="single" w:sz="18" w:color="2E74B5" w:space="8"/>
        </w:pBdr>
      </w:pPr>
      <w:r>
        <w:rPr>
          <w:rFonts w:ascii="Calibri" w:hAnsi="Calibri"/>
          <w:b/>
        </w:rPr>
        <w:t>conflit de caste public → pression ethnonationale extérieure → nationalisme défensif → recul relatif de la caste comme cleavage politique, sans disparition de ses mécanismes privés.</w:t>
      </w:r>
    </w:p>
    <w:p>
      <w:pPr>
        <w:pStyle w:val="Heading1"/>
      </w:pPr>
      <w:r>
        <w:rPr>
          <w:rFonts w:ascii="Calibri" w:hAnsi="Calibri"/>
        </w:rPr>
        <w:t>4. Années 1970 : l'université transforme le capital scolaire en conflit distributif</w:t>
      </w:r>
    </w:p>
    <w:p>
      <w:r>
        <w:rPr>
          <w:rFonts w:ascii="Calibri" w:hAnsi="Calibri"/>
        </w:rPr>
        <w:t>La standardisation cherche à corriger des écarts géographiques d'accès à l'université. Elle profite à des districts jusque-là défavorisés, mais frappe particulièrement Jaffna, historiquement spécialisé dans les études supérieures et les postes bureaucratiques [CAMBRIDGE-STANDARDIZATION].</w:t>
      </w:r>
    </w:p>
    <w:p>
      <w:r>
        <w:rPr>
          <w:rFonts w:ascii="Calibri" w:hAnsi="Calibri"/>
        </w:rPr>
        <w:t>La séquence perçue par de nombreuses familles devient cumulative :</w:t>
      </w:r>
    </w:p>
    <w:p>
      <w:pPr>
        <w:pStyle w:val="CausalCallout"/>
        <w:shd w:fill="F4F6F9"/>
        <w:pBdr>
          <w:left w:val="single" w:sz="18" w:color="2E74B5" w:space="8"/>
        </w:pBdr>
      </w:pPr>
      <w:r>
        <w:rPr>
          <w:rFonts w:ascii="Calibri" w:hAnsi="Calibri"/>
        </w:rPr>
        <w:t>capital scolaire hérité → valeur moindre de l'anglais dans l'État → nouvelles barrières linguistiques → règles universitaires moins favorables → sentiment de déclassement collectif.</w:t>
      </w:r>
    </w:p>
    <w:p>
      <w:r>
        <w:rPr>
          <w:rFonts w:ascii="Calibri" w:hAnsi="Calibri"/>
        </w:rPr>
        <w:t>Ces éléments n'expliquent pas seuls la guerre ; ils prennent sens avec citoyenneté, constitution, violences, échec des compromis et militarisation.</w:t>
      </w:r>
    </w:p>
    <w:p>
      <w:pPr>
        <w:pStyle w:val="Heading1"/>
      </w:pPr>
      <w:r>
        <w:rPr>
          <w:rFonts w:ascii="Calibri" w:hAnsi="Calibri"/>
        </w:rPr>
        <w:t>5. Tamil Nadu : une autre technologie de mobilité</w:t>
      </w:r>
    </w:p>
    <w:p>
      <w:r>
        <w:rPr>
          <w:rFonts w:ascii="Calibri" w:hAnsi="Calibri"/>
        </w:rPr>
        <w:t xml:space="preserve">Le bon comparateur n'est pas « l'Inde » en bloc mais le Tamil Nadu, et seulement sur des mécanismes bornés. Le mouvement non-brahmane, Periyar, le </w:t>
      </w:r>
      <w:r>
        <w:rPr>
          <w:rFonts w:ascii="Calibri" w:hAnsi="Calibri"/>
          <w:i/>
        </w:rPr>
        <w:t>Self-Respect Movement</w:t>
      </w:r>
      <w:r>
        <w:rPr>
          <w:rFonts w:ascii="Calibri" w:hAnsi="Calibri"/>
        </w:rPr>
        <w:t xml:space="preserve"> puis les gouvernements dravidiens construisent une politique où l'identité régionale sert largement à contester des hiérarchies internes de statut. À Jaffna, l'identité tamoule se transforme davantage en défense contre une majorité ethnolinguistique extérieure.</w:t>
      </w:r>
    </w:p>
    <w:p>
      <w:r>
        <w:rPr>
          <w:rFonts w:ascii="Calibri" w:hAnsi="Calibri"/>
        </w:rPr>
        <w:t xml:space="preserve">Le </w:t>
      </w:r>
      <w:r>
        <w:rPr>
          <w:rFonts w:ascii="Calibri" w:hAnsi="Calibri"/>
          <w:i/>
        </w:rPr>
        <w:t>Dravidian Model</w:t>
      </w:r>
      <w:r>
        <w:rPr>
          <w:rFonts w:ascii="Calibri" w:hAnsi="Calibri"/>
        </w:rPr>
        <w:t xml:space="preserve"> relie mobilisation sociale, accès à l'éducation, welfare et modernisation inclusive [CAMBRIDGE-DRAVIDIAN-MODEL ; CAMBRIDGE-DRAVIDIAN-EDUCATION]. L'architecture contemporaine des réservations atteint 69 % des places/postes couverts par la politique de l'État [TN-RESERVATION-OFFICIAL].</w:t>
      </w:r>
    </w:p>
    <w:p>
      <w:r>
        <w:rPr>
          <w:rFonts w:ascii="Calibri" w:hAnsi="Calibri"/>
        </w:rPr>
        <w:t xml:space="preserve">Mais Run 5 ajoute une correction centrale : </w:t>
      </w:r>
      <w:r>
        <w:rPr>
          <w:rFonts w:ascii="Calibri" w:hAnsi="Calibri"/>
          <w:b/>
        </w:rPr>
        <w:t>les quotas ne sont pas une explication économique suffisante</w:t>
      </w:r>
      <w:r>
        <w:rPr>
          <w:rFonts w:ascii="Calibri" w:hAnsi="Calibri"/>
        </w:rPr>
        <w:t>. Les travaux sur le Tamil Nadu insistent aussi sur la diversification hors des relations rurales liées à la caste, l'infrastructure, les politiques sociales et l'élargissement de l'accès à l'accumulation [CAMBRIDGE-DRAVIDIAN-RURAL ; CAMBRIDGE-DRAVIDIAN-CAPITAL]. Le World Bank state brief confirme une trajectoire de croissance et de sortie de l'agriculture relativement forte tout en relevant des écarts persistants entre groupes sociaux [WORLD-BANK-TN-BRIEF].</w:t>
      </w:r>
    </w:p>
    <w:p>
      <w:r>
        <w:rPr>
          <w:rFonts w:ascii="Calibri" w:hAnsi="Calibri"/>
        </w:rPr>
        <w:t xml:space="preserve">Le résultat n'est donc pas « caste abolie », mais </w:t>
      </w:r>
      <w:r>
        <w:rPr>
          <w:rFonts w:ascii="Calibri" w:hAnsi="Calibri"/>
          <w:b/>
        </w:rPr>
        <w:t>mobilité élargie malgré la persistance de réseaux et d'inégalités de caste</w:t>
      </w:r>
      <w:r>
        <w:rPr>
          <w:rFonts w:ascii="Calibri" w:hAnsi="Calibri"/>
        </w:rPr>
        <w:t xml:space="preserve"> [CAMBRIDGE-CASTE-ENTREPRENEURSHIP].</w:t>
      </w:r>
    </w:p>
    <w:p>
      <w:pPr>
        <w:pStyle w:val="Heading1"/>
      </w:pPr>
      <w:r>
        <w:rPr>
          <w:rFonts w:ascii="Calibri" w:hAnsi="Calibri"/>
        </w:rPr>
        <w:t>6. Gandhi, Ambedkar, Nehru : ne pas réduire l'Inde à un seul récit réformateur</w:t>
      </w:r>
    </w:p>
    <w:p>
      <w:r>
        <w:rPr>
          <w:rFonts w:ascii="Calibri" w:hAnsi="Calibri"/>
        </w:rPr>
        <w:t>Le comparateur indien doit également être décentré. Ambedkar est central pour la représentation des groupes historiquement intouchables ; le Poona Pact de 1932 avec Gandhi porte précisément sur les sièges réservés et les modalités de représentation dalit [CAMBRIDGE-POONA-PACT]. Le Tamil Nadu suit parallèlement sa généalogie propre — Justice Party, Periyar, mouvement dravidien — qui ne se réduit pas au Congrès national.</w:t>
      </w:r>
    </w:p>
    <w:p>
      <w:r>
        <w:rPr>
          <w:rFonts w:ascii="Calibri" w:hAnsi="Calibri"/>
        </w:rPr>
        <w:t xml:space="preserve">Cette distinction est essentielle : l'Inde moderne combine </w:t>
      </w:r>
      <w:r>
        <w:rPr>
          <w:rFonts w:ascii="Calibri" w:hAnsi="Calibri"/>
          <w:b/>
        </w:rPr>
        <w:t>plusieurs technologies de redistribution</w:t>
      </w:r>
      <w:r>
        <w:rPr>
          <w:rFonts w:ascii="Calibri" w:hAnsi="Calibri"/>
        </w:rPr>
        <w:t xml:space="preserve"> plutôt qu'une réforme unique des castes.</w:t>
      </w:r>
    </w:p>
    <w:p>
      <w:pPr>
        <w:pStyle w:val="Heading1"/>
      </w:pPr>
      <w:r>
        <w:rPr>
          <w:rFonts w:ascii="Calibri" w:hAnsi="Calibri"/>
        </w:rPr>
        <w:t>7. Guerre civile : discipliner les hiérarchies sans les abolir</w:t>
      </w:r>
    </w:p>
    <w:p>
      <w:r>
        <w:rPr>
          <w:rFonts w:ascii="Calibri" w:hAnsi="Calibri"/>
        </w:rPr>
        <w:t>Le LTTE fournit un test rare. Dans certains espaces, le mouvement cherche à réduire des droits de temple ou des autorités organisées par caste/kudi ; ces institutions possèdent cependant leurs propres ressources de légitimité et peuvent résister [CAMBRIDGE-LTTE-PUBLIC-AUTHORITY].</w:t>
      </w:r>
    </w:p>
    <w:p>
      <w:r>
        <w:rPr>
          <w:rFonts w:ascii="Calibri" w:hAnsi="Calibri"/>
        </w:rPr>
        <w:t>Un mouvement insurgé centralisé peut donc diminuer la visibilité politique de la caste sans supprimer parenté, temple, propriété, mariage ou réseaux. La guerre reconfigure les cleavages ; elle ne crée pas automatiquement une société sans hiérarchie.</w:t>
      </w:r>
    </w:p>
    <w:p>
      <w:pPr>
        <w:pStyle w:val="Heading1"/>
      </w:pPr>
      <w:r>
        <w:rPr>
          <w:rFonts w:ascii="Calibri" w:hAnsi="Calibri"/>
        </w:rPr>
        <w:t>8. Mariage et diaspora : reproduction sociale n'est pas coercition</w:t>
      </w:r>
    </w:p>
    <w:p>
      <w:r>
        <w:rPr>
          <w:rFonts w:ascii="Calibri" w:hAnsi="Calibri"/>
        </w:rPr>
        <w:t xml:space="preserve">Le mariage relie caste, propriété, parenté, migration et diaspora. Mais </w:t>
      </w:r>
      <w:r>
        <w:rPr>
          <w:rFonts w:ascii="Calibri" w:hAnsi="Calibri"/>
          <w:b/>
        </w:rPr>
        <w:t>mariage arrangé ≠ mariage forcé ≠ endogamie de caste</w:t>
      </w:r>
      <w:r>
        <w:rPr>
          <w:rFonts w:ascii="Calibri" w:hAnsi="Calibri"/>
        </w:rPr>
        <w:t>. Les mariages transnationaux tamouls montrent surtout comment guerre et migration transforment le mariage en dispositif de reconstruction familiale, mobilité et circulation internationale [JSTOR-TAMIL-MARRIAGE-2019]. La guerre modifie aussi dot, héritage et propriété [CAMBRIDGE-THIRANAGAMA-REVIEW].</w:t>
      </w:r>
    </w:p>
    <w:p>
      <w:r>
        <w:rPr>
          <w:rFonts w:ascii="Calibri" w:hAnsi="Calibri"/>
        </w:rPr>
        <w:t>La question solide devient : comment une population dispersée reproduit-elle sécurité, statut, propriété et réseau à travers plusieurs pays ? Nous n'avons toujours pas de métrique permettant d'affirmer que Jaffna serait aujourd'hui « plus castéiste » ou « plus endogame » que le Tamil Nadu.</w:t>
      </w:r>
    </w:p>
    <w:p>
      <w:pPr>
        <w:pStyle w:val="Heading1"/>
      </w:pPr>
      <w:r>
        <w:rPr>
          <w:rFonts w:ascii="Calibri" w:hAnsi="Calibri"/>
        </w:rPr>
        <w:t>9. Indonésie : décolonisation linguistique sans langue de la majorité</w:t>
      </w:r>
    </w:p>
    <w:p>
      <w:r>
        <w:rPr>
          <w:rFonts w:ascii="Calibri" w:hAnsi="Calibri"/>
        </w:rPr>
        <w:t>Les Javanais sont le groupe le plus nombreux, mais le nationalisme indonésien choisit une lingua franca malayo-indonésienne plutôt que le javanais comme langue nationale [CAMBRIDGE-INDONESIA-LANGUAGE]. Les données contemporaines de BPS montrent que Bahasa Indonesia coexiste toujours avec un usage massif de langues régionales [BPS-INDONESIA-LANGUAGE-2024].</w:t>
      </w:r>
    </w:p>
    <w:p>
      <w:r>
        <w:rPr>
          <w:rFonts w:ascii="Calibri" w:hAnsi="Calibri"/>
        </w:rPr>
        <w:t>Ce cas élargit le choix institutionnel disponible :</w:t>
      </w:r>
    </w:p>
    <w:p>
      <w:pPr>
        <w:pStyle w:val="CausalCallout"/>
        <w:shd w:fill="F4F6F9"/>
        <w:pBdr>
          <w:left w:val="single" w:sz="18" w:color="2E74B5" w:space="8"/>
        </w:pBdr>
      </w:pPr>
      <w:r>
        <w:rPr>
          <w:rFonts w:ascii="Calibri" w:hAnsi="Calibri"/>
          <w:b/>
        </w:rPr>
        <w:t>une langue commune postcoloniale peut être construite sans être la langue maternelle du groupe démographiquement dominant et sans faire disparaître les langues régionales.</w:t>
      </w:r>
    </w:p>
    <w:p>
      <w:r>
        <w:rPr>
          <w:rFonts w:ascii="Calibri" w:hAnsi="Calibri"/>
        </w:rPr>
        <w:t>Mais il ne prouve pas « Bahasa Indonesia → paix et croissance ». Autoritarisme, violences, ressources, archipel et trajectoire économique empêchent de transporter l'outcome.</w:t>
      </w:r>
    </w:p>
    <w:p>
      <w:pPr>
        <w:pStyle w:val="Heading1"/>
      </w:pPr>
      <w:r>
        <w:rPr>
          <w:rFonts w:ascii="Calibri" w:hAnsi="Calibri"/>
        </w:rPr>
        <w:t>10. Run 5 — le véritable comparateur : comment convertir un capital humain en développement territorial ?</w:t>
      </w:r>
    </w:p>
    <w:p>
      <w:r>
        <w:rPr>
          <w:rFonts w:ascii="Calibri" w:hAnsi="Calibri"/>
        </w:rPr>
        <w:t xml:space="preserve">Le point décisif de cette passe est de séparer </w:t>
      </w:r>
      <w:r>
        <w:rPr>
          <w:rFonts w:ascii="Calibri" w:hAnsi="Calibri"/>
          <w:b/>
        </w:rPr>
        <w:t>capacité individuelle</w:t>
      </w:r>
      <w:r>
        <w:rPr>
          <w:rFonts w:ascii="Calibri" w:hAnsi="Calibri"/>
        </w:rPr>
        <w:t xml:space="preserve"> et </w:t>
      </w:r>
      <w:r>
        <w:rPr>
          <w:rFonts w:ascii="Calibri" w:hAnsi="Calibri"/>
          <w:b/>
        </w:rPr>
        <w:t>capture territoriale</w:t>
      </w:r>
      <w:r>
        <w:rPr>
          <w:rFonts w:ascii="Calibri" w:hAnsi="Calibri"/>
        </w:rPr>
        <w:t>. Une population éduquée ne crée pas automatiquement une économie locale dynamique. Il faut une chaîne :</w:t>
      </w:r>
    </w:p>
    <w:p>
      <w:pPr>
        <w:pStyle w:val="CausalCallout"/>
        <w:shd w:fill="F4F6F9"/>
        <w:pBdr>
          <w:left w:val="single" w:sz="18" w:color="2E74B5" w:space="8"/>
        </w:pBdr>
      </w:pPr>
      <w:r>
        <w:rPr>
          <w:rFonts w:ascii="Calibri" w:hAnsi="Calibri"/>
          <w:b/>
        </w:rPr>
        <w:t>éducation/compétences → gateways institutionnels → infrastructure/connectivité → organisations capables d'absorber les compétences → emplois/entreprises → fournisseurs/impôts/services → spillovers territoriaux.</w:t>
      </w:r>
    </w:p>
    <w:p>
      <w:pPr>
        <w:pStyle w:val="Heading2"/>
      </w:pPr>
      <w:r>
        <w:rPr>
          <w:rFonts w:ascii="Calibri" w:hAnsi="Calibri"/>
        </w:rPr>
        <w:t>Tamil Nadu : davantage de conversion sur place</w:t>
      </w:r>
    </w:p>
    <w:p>
      <w:r>
        <w:rPr>
          <w:rFonts w:ascii="Calibri" w:hAnsi="Calibri"/>
        </w:rPr>
        <w:t xml:space="preserve">Une combinaison d'accès éducatif élargi, politiques sociales, diversification rurale, infrastructures, agglomérations industrielles et appartenance au grand marché indien multiplie les lieux où convertir les compétences en emplois et capital [CAMBRIDGE-DRAVIDIAN-RURAL ; CAMBRIDGE-DRAVIDIAN-CAPITAL ; WORLD-BANK-TN-BRIEF]. Le mécanisme est un </w:t>
      </w:r>
      <w:r>
        <w:rPr>
          <w:rFonts w:ascii="Calibri" w:hAnsi="Calibri"/>
          <w:b/>
        </w:rPr>
        <w:t>package</w:t>
      </w:r>
      <w:r>
        <w:rPr>
          <w:rFonts w:ascii="Calibri" w:hAnsi="Calibri"/>
        </w:rPr>
        <w:t>, pas un bouton unique.</w:t>
      </w:r>
    </w:p>
    <w:p>
      <w:pPr>
        <w:pStyle w:val="Heading2"/>
      </w:pPr>
      <w:r>
        <w:rPr>
          <w:rFonts w:ascii="Calibri" w:hAnsi="Calibri"/>
        </w:rPr>
        <w:t>Jaffna : chaîne cassée, puis capital partiellement externalisé</w:t>
      </w:r>
    </w:p>
    <w:p>
      <w:r>
        <w:rPr>
          <w:rFonts w:ascii="Calibri" w:hAnsi="Calibri"/>
        </w:rPr>
        <w:t>Le capital humain n'a pas simplement disparu. Mais la péninsule et le Nord connaissent plusieurs décennies de guerre, déplacements, maintenance différée et incertitude. ADB documente la nécessité, après le conflit, de restaurer routes, électricité, eau, irrigation, services administratifs et connexions aux marchés [ADB-NORTHERN-ROADS ; ADB-CONFLICT-REGION].</w:t>
      </w:r>
    </w:p>
    <w:p>
      <w:r>
        <w:rPr>
          <w:rFonts w:ascii="Calibri" w:hAnsi="Calibri"/>
        </w:rPr>
        <w:t xml:space="preserve">Une partie des personnes et réseaux se recompose hors du territoire. Le concept utile est </w:t>
      </w:r>
      <w:r>
        <w:rPr>
          <w:rFonts w:ascii="Calibri" w:hAnsi="Calibri"/>
          <w:b/>
        </w:rPr>
        <w:t>externalisation partielle du capital humain</w:t>
      </w:r>
      <w:r>
        <w:rPr>
          <w:rFonts w:ascii="Calibri" w:hAnsi="Calibri"/>
        </w:rPr>
        <w:t xml:space="preserve"> : compétences et revenus peuvent survivre dans la diaspora tandis que les spillovers locaux — entreprises, emplois, fournisseurs, fiscalité et institutions connectées — sont plus faibles [JSTOR-TAMIL-MARRIAGE-2019 ; WORLD-BANK-REVIVE-2026].</w:t>
      </w:r>
    </w:p>
    <w:p>
      <w:r>
        <w:rPr>
          <w:rFonts w:ascii="Calibri" w:hAnsi="Calibri"/>
        </w:rPr>
        <w:t xml:space="preserve">Cela corrige le vocabulaire du « cycle manqué » : le problème n'est pas une incapacité culturelle à entrer dans la mondialisation, mais un </w:t>
      </w:r>
      <w:r>
        <w:rPr>
          <w:rFonts w:ascii="Calibri" w:hAnsi="Calibri"/>
          <w:b/>
        </w:rPr>
        <w:t>découplage entre capital humain et territoire d'origine</w:t>
      </w:r>
      <w:r>
        <w:rPr>
          <w:rFonts w:ascii="Calibri" w:hAnsi="Calibri"/>
        </w:rPr>
        <w:t>.</w:t>
      </w:r>
    </w:p>
    <w:p>
      <w:pPr>
        <w:pStyle w:val="Heading1"/>
      </w:pPr>
      <w:r>
        <w:rPr>
          <w:rFonts w:ascii="Calibri" w:hAnsi="Calibri"/>
        </w:rPr>
        <w:t>11. Ce que la guerre change dans la comparaison</w:t>
      </w:r>
    </w:p>
    <w:p>
      <w:r>
        <w:rPr>
          <w:rFonts w:ascii="Calibri" w:hAnsi="Calibri"/>
        </w:rPr>
        <w:t>Comparer Jaffna au Tamil Nadu sans traiter la guerre comme confounder majeur rendrait toute conclusion sur caste, anglais ou politique sociale artificielle. Les canaux doivent être séparés : destruction, maintenance différée, déplacement, interruption scolaire/institutionnelle, accès aux terres et marchés, risque d'investissement, délocalisation des entreprises/professionnels, puis délai de reconstruction.</w:t>
      </w:r>
    </w:p>
    <w:p>
      <w:r>
        <w:rPr>
          <w:rFonts w:ascii="Calibri" w:hAnsi="Calibri"/>
        </w:rPr>
        <w:t xml:space="preserve">Le Tamil Nadu montre qu'une conversion territoriale large </w:t>
      </w:r>
      <w:r>
        <w:rPr>
          <w:rFonts w:ascii="Calibri" w:hAnsi="Calibri"/>
          <w:b/>
        </w:rPr>
        <w:t>était institutionnellement possible dans un autre environnement</w:t>
      </w:r>
      <w:r>
        <w:rPr>
          <w:rFonts w:ascii="Calibri" w:hAnsi="Calibri"/>
        </w:rPr>
        <w:t xml:space="preserve"> ; il ne permet pas de chiffrer ce que Jaffna serait devenue sans guerre.</w:t>
      </w:r>
    </w:p>
    <w:p>
      <w:r>
        <w:rPr>
          <w:rFonts w:ascii="Calibri" w:hAnsi="Calibri"/>
        </w:rPr>
        <w:t xml:space="preserve">Confidence : </w:t>
      </w:r>
      <w:r>
        <w:rPr>
          <w:rFonts w:ascii="Calibri" w:hAnsi="Calibri"/>
          <w:b/>
        </w:rPr>
        <w:t>B</w:t>
      </w:r>
      <w:r>
        <w:rPr>
          <w:rFonts w:ascii="Calibri" w:hAnsi="Calibri"/>
        </w:rPr>
        <w:t xml:space="preserve"> sur le mécanisme de conversion/externalisation ; </w:t>
      </w:r>
      <w:r>
        <w:rPr>
          <w:rFonts w:ascii="Calibri" w:hAnsi="Calibri"/>
          <w:b/>
        </w:rPr>
        <w:t>C</w:t>
      </w:r>
      <w:r>
        <w:rPr>
          <w:rFonts w:ascii="Calibri" w:hAnsi="Calibri"/>
        </w:rPr>
        <w:t xml:space="preserve"> sur tout contre-factuel précis de niveau de développement.</w:t>
      </w:r>
    </w:p>
    <w:p>
      <w:pPr>
        <w:pStyle w:val="Heading1"/>
      </w:pPr>
      <w:r>
        <w:rPr>
          <w:rFonts w:ascii="Calibri" w:hAnsi="Calibri"/>
        </w:rPr>
        <w:t>12. « Apartheid » ou créolisation : mesurer des gateways communs</w:t>
      </w:r>
    </w:p>
    <w:p>
      <w:r>
        <w:rPr>
          <w:rFonts w:ascii="Calibri" w:hAnsi="Calibri"/>
        </w:rPr>
        <w:t xml:space="preserve">Le terme </w:t>
      </w:r>
      <w:r>
        <w:rPr>
          <w:rFonts w:ascii="Calibri" w:hAnsi="Calibri"/>
          <w:i/>
        </w:rPr>
        <w:t>apartheid</w:t>
      </w:r>
      <w:r>
        <w:rPr>
          <w:rFonts w:ascii="Calibri" w:hAnsi="Calibri"/>
        </w:rPr>
        <w:t xml:space="preserve"> reste inadéquat comme description juridique. Les réformes constitutionnelles reconnaissent le tamoul comme langue officielle et l'anglais comme langue de liaison, avec Sinhala/Tamil dans administration, législation et justice [SRI-LANKA-PARLIAMENT-LANGUAGE].</w:t>
      </w:r>
    </w:p>
    <w:p>
      <w:r>
        <w:rPr>
          <w:rFonts w:ascii="Calibri" w:hAnsi="Calibri"/>
        </w:rPr>
        <w:t xml:space="preserve">Mais droit commun ne signifie pas société intégrée. La bonne question est empirique : existe-t-il des </w:t>
      </w:r>
      <w:r>
        <w:rPr>
          <w:rFonts w:ascii="Calibri" w:hAnsi="Calibri"/>
          <w:b/>
        </w:rPr>
        <w:t>gateways partagés</w:t>
      </w:r>
      <w:r>
        <w:rPr>
          <w:rFonts w:ascii="Calibri" w:hAnsi="Calibri"/>
        </w:rPr>
        <w:t xml:space="preserve"> ? Administration effectivement bilingue ; écoles, universités et entreprises mixtes ; mobilité résidentielle/professionnelle ; routes, énergie et chaînes de valeur interrégionales ; accès symétrique aux institutions nationales ; anglais comme langue-pont ; diaspora investissant dans des activités produisant des spillovers locaux ; médias, commerce et espaces urbains communs.</w:t>
      </w:r>
    </w:p>
    <w:p>
      <w:r>
        <w:rPr>
          <w:rFonts w:ascii="Calibri" w:hAnsi="Calibri"/>
        </w:rPr>
        <w:t>Le Sri Lanka peut donc évoluer vers intégration, segmentation durable ou nouvelle séparation territoriale sans que l'une de ces trajectoires soit déductible du droit seul.</w:t>
      </w:r>
    </w:p>
    <w:p>
      <w:pPr>
        <w:pStyle w:val="Heading1"/>
      </w:pPr>
      <w:r>
        <w:rPr>
          <w:rFonts w:ascii="Calibri" w:hAnsi="Calibri"/>
        </w:rPr>
        <w:t>13. Colombo, Bandung, Belgrade : souveraineté interne et externe</w:t>
      </w:r>
    </w:p>
    <w:p>
      <w:r>
        <w:rPr>
          <w:rFonts w:ascii="Calibri" w:hAnsi="Calibri"/>
        </w:rPr>
        <w:t xml:space="preserve">La chronologie reste </w:t>
      </w:r>
      <w:r>
        <w:rPr>
          <w:rFonts w:ascii="Calibri" w:hAnsi="Calibri"/>
          <w:b/>
        </w:rPr>
        <w:t>Colombo 1954 → Bandung 1955 → Belgrade 1961 → Colombo NAM 1976</w:t>
      </w:r>
      <w:r>
        <w:rPr>
          <w:rFonts w:ascii="Calibri" w:hAnsi="Calibri"/>
        </w:rPr>
        <w:t xml:space="preserve"> [CAMBRIDGE-NAM-KOTELAWALA ; CAMBRIDGE-NAM-NIEO]. Kotelawala est nettement anticommuniste ; les Bandaranaike développent ensuite neutralisme, récupération des bases britanniques et diversification des partenaires [FRUS-CEYLON-1958].</w:t>
      </w:r>
    </w:p>
    <w:p>
      <w:r>
        <w:rPr>
          <w:rFonts w:ascii="Calibri" w:hAnsi="Calibri"/>
        </w:rPr>
        <w:t xml:space="preserve">Langue, nationalisations, politique sociale et non-alignement ne forment pas une chaîne causale unique. Ils parlent néanmoins une même grammaire postcoloniale : </w:t>
      </w:r>
      <w:r>
        <w:rPr>
          <w:rFonts w:ascii="Calibri" w:hAnsi="Calibri"/>
          <w:b/>
        </w:rPr>
        <w:t>qui gouverne, dans quelle langue, avec quelles élites et quelle dépendance envers les anciens centres impériaux ?</w:t>
      </w:r>
    </w:p>
    <w:p>
      <w:pPr>
        <w:pStyle w:val="Heading1"/>
      </w:pPr>
      <w:r>
        <w:rPr>
          <w:rFonts w:ascii="Calibri" w:hAnsi="Calibri"/>
        </w:rPr>
        <w:t>14. La carte causale consolidée</w:t>
      </w:r>
    </w:p>
    <w:p>
      <w:pPr>
        <w:pStyle w:val="Heading2"/>
      </w:pPr>
      <w:r>
        <w:rPr>
          <w:rFonts w:ascii="Calibri" w:hAnsi="Calibri"/>
        </w:rPr>
        <w:t>Axe horizontal — État et conflit</w:t>
      </w:r>
    </w:p>
    <w:p>
      <w:r>
        <w:rPr>
          <w:rFonts w:ascii="Calibri" w:hAnsi="Calibri"/>
        </w:rPr>
        <w:t>citoyenneté → langue → constitution → compétition distributive → violences → militarisation → guerre → reconstruction → crise économique → réalignement politique.</w:t>
      </w:r>
    </w:p>
    <w:p>
      <w:pPr>
        <w:pStyle w:val="Heading2"/>
      </w:pPr>
      <w:r>
        <w:rPr>
          <w:rFonts w:ascii="Calibri" w:hAnsi="Calibri"/>
        </w:rPr>
        <w:t>Axe vertical — reproduction et mobilité</w:t>
      </w:r>
    </w:p>
    <w:p>
      <w:r>
        <w:rPr>
          <w:rFonts w:ascii="Calibri" w:hAnsi="Calibri"/>
        </w:rPr>
        <w:t>caste/statut → école/anglais → accès à l'État/professions → quotas/réservations → temple et politique sociale → nationalisme défensif → guerre → mariage/diaspora → reconstruction.</w:t>
      </w:r>
    </w:p>
    <w:p>
      <w:pPr>
        <w:pStyle w:val="Heading2"/>
      </w:pPr>
      <w:r>
        <w:rPr>
          <w:rFonts w:ascii="Calibri" w:hAnsi="Calibri"/>
        </w:rPr>
        <w:t>Axe Run 5 — conversion territoriale</w:t>
      </w:r>
    </w:p>
    <w:p>
      <w:r>
        <w:rPr>
          <w:rFonts w:ascii="Calibri" w:hAnsi="Calibri"/>
        </w:rPr>
        <w:t xml:space="preserve">capabilités → gateways → connectivité → organisations absorbantes → emplois/capital → spillovers territoriaux </w:t>
      </w:r>
      <w:r>
        <w:rPr>
          <w:rFonts w:ascii="Calibri" w:hAnsi="Calibri"/>
          <w:b/>
        </w:rPr>
        <w:t>ou</w:t>
      </w:r>
      <w:r>
        <w:rPr>
          <w:rFonts w:ascii="Calibri" w:hAnsi="Calibri"/>
        </w:rPr>
        <w:t xml:space="preserve"> blocage/externalisation.</w:t>
      </w:r>
    </w:p>
    <w:p>
      <w:r>
        <w:rPr>
          <w:rFonts w:ascii="Calibri" w:hAnsi="Calibri"/>
        </w:rPr>
        <w:t>Ces axes se croisent en 1956, 1968, lors de la standardisation, pendant la guerre et dans la reconstruction post-2009. Le gain analytique est important : la guerre n'est plus seulement un résultat de l'échec politique ; elle devient aussi une machine à transformer les trajectoires sociales et territoriales.</w:t>
      </w:r>
    </w:p>
    <w:p>
      <w:pPr>
        <w:pStyle w:val="Heading2"/>
      </w:pPr>
      <w:r>
        <w:rPr>
          <w:rFonts w:ascii="Calibri" w:hAnsi="Calibri"/>
        </w:rPr>
        <w:t>Fausse piste finale</w:t>
      </w:r>
    </w:p>
    <w:p>
      <w:r>
        <w:rPr>
          <w:rFonts w:ascii="Calibri" w:hAnsi="Calibri"/>
        </w:rPr>
        <w:t>Il serait tentant d'écrire : « Tamil Nadu réussit parce qu'il réforme la caste, Jaffna échoue parce qu'elle reste traditionnelle, l'Indonésie réussit parce qu'elle choisit une meilleure langue ». Run 5 ferme précisément ces raccourcis.</w:t>
      </w:r>
    </w:p>
    <w:p>
      <w:r>
        <w:rPr>
          <w:rFonts w:ascii="Calibri" w:hAnsi="Calibri"/>
        </w:rPr>
        <w:t xml:space="preserve">La comparaison robuste dit autre chose : </w:t>
      </w:r>
      <w:r>
        <w:rPr>
          <w:rFonts w:ascii="Calibri" w:hAnsi="Calibri"/>
          <w:b/>
        </w:rPr>
        <w:t>des capitaux historiques proches peuvent produire des résultats radicalement différents selon les gateways institutionnels, la capacité d'absorption économique, l'échelle du marché, la sécurité, l'infrastructure et la possibilité de convertir les compétences localement plutôt que de les externaliser.</w:t>
      </w:r>
    </w:p>
    <w:p>
      <w:r>
        <w:br w:type="page"/>
      </w:r>
    </w:p>
    <w:p>
      <w:pPr>
        <w:pStyle w:val="Heading1"/>
      </w:pPr>
      <w:r>
        <w:t>Sources citées dans cette édition</w:t>
      </w:r>
    </w:p>
    <w:p>
      <w:r>
        <w:rPr>
          <w:rFonts w:ascii="Calibri" w:hAnsi="Calibri"/>
        </w:rPr>
        <w:t>Les tiers décrivent le mode de production de la connaissance ; le rôle décrit l’usage dans cette enquête. Les limites sont conservées pour empêcher qu’une source soit étendue au-delà de son champ.</w:t>
      </w:r>
    </w:p>
    <w:p>
      <w:pPr>
        <w:keepNext/>
        <w:keepLines/>
      </w:pPr>
      <w:r>
        <w:rPr>
          <w:rFonts w:ascii="Calibri" w:hAnsi="Calibri"/>
          <w:b/>
          <w:color w:val="203748"/>
        </w:rPr>
        <w:t>ADB-CONFLICT-REGION — Sri Lanka Conflict-Affected Region Emergency Project</w:t>
      </w:r>
    </w:p>
    <w:p>
      <w:pPr>
        <w:spacing w:after="80"/>
        <w:ind w:left="288"/>
      </w:pPr>
      <w:r>
        <w:rPr>
          <w:rFonts w:ascii="Calibri" w:hAnsi="Calibri"/>
        </w:rPr>
        <w:t xml:space="preserve">T2 · corroborating bridge. postwar restoration of roads, power, water, irrigation, administrative services, livelihoods and investment conditions in Northern Province. Limite : project documentation mixes baseline diagnosis, targets and achieved project outputs; do not equate project outputs with full regional recovery. </w:t>
      </w:r>
      <w:hyperlink r:id="rId11">
        <w:r>
          <w:rPr>
            <w:color w:val="2E74B5"/>
            <w:u w:val="single"/>
          </w:rPr>
          <w:t>Lien source</w:t>
        </w:r>
      </w:hyperlink>
    </w:p>
    <w:p>
      <w:pPr>
        <w:keepNext/>
        <w:keepLines/>
      </w:pPr>
      <w:r>
        <w:rPr>
          <w:rFonts w:ascii="Calibri" w:hAnsi="Calibri"/>
          <w:b/>
          <w:color w:val="203748"/>
        </w:rPr>
        <w:t>ADB-NORTHERN-ROADS — Sri Lanka Northern Road Connectivity Project</w:t>
      </w:r>
    </w:p>
    <w:p>
      <w:pPr>
        <w:spacing w:after="80"/>
        <w:ind w:left="288"/>
      </w:pPr>
      <w:r>
        <w:rPr>
          <w:rFonts w:ascii="Calibri" w:hAnsi="Calibri"/>
        </w:rPr>
        <w:t xml:space="preserve">T2 · corroborating bridge. conflict-related infrastructure destruction, underinvestment and market-connectivity constraints in Northern Province. Limite : project rationale from a development institution; strong on intervention context, not a complete regional counterfactual. </w:t>
      </w:r>
      <w:hyperlink r:id="rId12">
        <w:r>
          <w:rPr>
            <w:color w:val="2E74B5"/>
            <w:u w:val="single"/>
          </w:rPr>
          <w:t>Lien source</w:t>
        </w:r>
      </w:hyperlink>
    </w:p>
    <w:p>
      <w:pPr>
        <w:keepNext/>
        <w:keepLines/>
      </w:pPr>
      <w:r>
        <w:rPr>
          <w:rFonts w:ascii="Calibri" w:hAnsi="Calibri"/>
          <w:b/>
          <w:color w:val="203748"/>
        </w:rPr>
        <w:t>BPS-INDONESIA-LANGUAGE-2024 — Profile of Ethnic Groups and Regional Language Diversity — Long Form 2020 Population Census</w:t>
      </w:r>
    </w:p>
    <w:p>
      <w:pPr>
        <w:spacing w:after="80"/>
        <w:ind w:left="288"/>
      </w:pPr>
      <w:r>
        <w:rPr>
          <w:rFonts w:ascii="Calibri" w:hAnsi="Calibri"/>
        </w:rPr>
        <w:t xml:space="preserve">T0 · corroborating comparative anchor. official contemporary evidence that Bahasa Indonesia coexists with extensive regional-language use across Indonesia. Limite : contemporary language-use profile; does not by itself establish historical causality from the 1928/1945 language choice. </w:t>
      </w:r>
      <w:hyperlink r:id="rId13">
        <w:r>
          <w:rPr>
            <w:color w:val="2E74B5"/>
            <w:u w:val="single"/>
          </w:rPr>
          <w:t>Lien source</w:t>
        </w:r>
      </w:hyperlink>
    </w:p>
    <w:p>
      <w:pPr>
        <w:keepNext/>
        <w:keepLines/>
      </w:pPr>
      <w:r>
        <w:rPr>
          <w:rFonts w:ascii="Calibri" w:hAnsi="Calibri"/>
          <w:b/>
          <w:color w:val="203748"/>
        </w:rPr>
        <w:t>CAMBRIDGE-ACM-EDU — A Nation of Ink and Paint: Map Drawing and Geographic Pedagogy in the American Ceylon Mission</w:t>
      </w:r>
    </w:p>
    <w:p>
      <w:pPr>
        <w:spacing w:after="80"/>
        <w:ind w:left="288"/>
      </w:pPr>
      <w:r>
        <w:rPr>
          <w:rFonts w:ascii="Calibri" w:hAnsi="Calibri"/>
        </w:rPr>
        <w:t xml:space="preserve">T1 · canonical anchor. American Ceylon Mission educational investment, pedagogy and long-term social effects in Jaffna. Limite : education-history lens; not a complete explanation of Tamil political mobilization. </w:t>
      </w:r>
      <w:hyperlink r:id="rId14">
        <w:r>
          <w:rPr>
            <w:color w:val="2E74B5"/>
            <w:u w:val="single"/>
          </w:rPr>
          <w:t>Lien source</w:t>
        </w:r>
      </w:hyperlink>
    </w:p>
    <w:p>
      <w:pPr>
        <w:keepNext/>
        <w:keepLines/>
      </w:pPr>
      <w:r>
        <w:rPr>
          <w:rFonts w:ascii="Calibri" w:hAnsi="Calibri"/>
          <w:b/>
          <w:color w:val="203748"/>
        </w:rPr>
        <w:t>CAMBRIDGE-CASTE-ENTREPRENEURSHIP — Caste Embeddedness and Entrepreneurship in Colonial and Contemporary India</w:t>
      </w:r>
    </w:p>
    <w:p>
      <w:pPr>
        <w:spacing w:after="80"/>
        <w:ind w:left="288"/>
      </w:pPr>
      <w:r>
        <w:rPr>
          <w:rFonts w:ascii="Calibri" w:hAnsi="Calibri"/>
        </w:rPr>
        <w:t xml:space="preserve">T1 · corroborating comparative anchor. persistence of caste networks and unequal conversion of education/capital after liberalization. Limite : India-wide evidence; avoid projecting every pattern onto Tamil Nadu. </w:t>
      </w:r>
      <w:hyperlink r:id="rId15">
        <w:r>
          <w:rPr>
            <w:color w:val="2E74B5"/>
            <w:u w:val="single"/>
          </w:rPr>
          <w:t>Lien source</w:t>
        </w:r>
      </w:hyperlink>
    </w:p>
    <w:p>
      <w:pPr>
        <w:keepNext/>
        <w:keepLines/>
      </w:pPr>
      <w:r>
        <w:rPr>
          <w:rFonts w:ascii="Calibri" w:hAnsi="Calibri"/>
          <w:b/>
          <w:color w:val="203748"/>
        </w:rPr>
        <w:t>CAMBRIDGE-DRAVIDIAN-CAPITAL — Broadening Growth and Democratising Capital — The Dravidian Model</w:t>
      </w:r>
    </w:p>
    <w:p>
      <w:pPr>
        <w:spacing w:after="80"/>
        <w:ind w:left="288"/>
      </w:pPr>
      <w:r>
        <w:rPr>
          <w:rFonts w:ascii="Calibri" w:hAnsi="Calibri"/>
        </w:rPr>
        <w:t xml:space="preserve">T1 · canonical comparative anchor. Tamil Nadu political mobilisation, broader entry into accumulation and modern economic opportunity. Limite : interpretive political-economy chapter; do not treat broadening as equal distribution or a single cause of growth. </w:t>
      </w:r>
      <w:hyperlink r:id="rId16">
        <w:r>
          <w:rPr>
            <w:color w:val="2E74B5"/>
            <w:u w:val="single"/>
          </w:rPr>
          <w:t>Lien source</w:t>
        </w:r>
      </w:hyperlink>
    </w:p>
    <w:p>
      <w:pPr>
        <w:keepNext/>
        <w:keepLines/>
      </w:pPr>
      <w:r>
        <w:rPr>
          <w:rFonts w:ascii="Calibri" w:hAnsi="Calibri"/>
          <w:b/>
          <w:color w:val="203748"/>
        </w:rPr>
        <w:t>CAMBRIDGE-DRAVIDIAN-EDUCATION — Democratising Education — The Dravidian Model</w:t>
      </w:r>
    </w:p>
    <w:p>
      <w:pPr>
        <w:spacing w:after="80"/>
        <w:ind w:left="288"/>
      </w:pPr>
      <w:r>
        <w:rPr>
          <w:rFonts w:ascii="Calibri" w:hAnsi="Calibri"/>
        </w:rPr>
        <w:t xml:space="preserve">T1 · canonical comparative anchor. lower-caste educational aspirations and state responses in Tamil Nadu. Limite : Tamil Nadu-specific political-economy interpretation. </w:t>
      </w:r>
      <w:hyperlink r:id="rId17">
        <w:r>
          <w:rPr>
            <w:color w:val="2E74B5"/>
            <w:u w:val="single"/>
          </w:rPr>
          <w:t>Lien source</w:t>
        </w:r>
      </w:hyperlink>
    </w:p>
    <w:p>
      <w:pPr>
        <w:keepNext/>
        <w:keepLines/>
      </w:pPr>
      <w:r>
        <w:rPr>
          <w:rFonts w:ascii="Calibri" w:hAnsi="Calibri"/>
          <w:b/>
          <w:color w:val="203748"/>
        </w:rPr>
        <w:t>CAMBRIDGE-DRAVIDIAN-MODEL — The Dravidian Model: Interpreting the Political Economy of Tamil Nadu</w:t>
      </w:r>
    </w:p>
    <w:p>
      <w:pPr>
        <w:spacing w:after="80"/>
        <w:ind w:left="288"/>
      </w:pPr>
      <w:r>
        <w:rPr>
          <w:rFonts w:ascii="Calibri" w:hAnsi="Calibri"/>
        </w:rPr>
        <w:t xml:space="preserve">T1 · canonical comparative anchor. anti-caste mobilization, social justice and inclusive modernization in Tamil Nadu. Limite : interpretive model; compare with critical literature and do not equate relative success with caste elimination. </w:t>
      </w:r>
      <w:hyperlink r:id="rId18">
        <w:r>
          <w:rPr>
            <w:color w:val="2E74B5"/>
            <w:u w:val="single"/>
          </w:rPr>
          <w:t>Lien source</w:t>
        </w:r>
      </w:hyperlink>
    </w:p>
    <w:p>
      <w:pPr>
        <w:keepNext/>
        <w:keepLines/>
      </w:pPr>
      <w:r>
        <w:rPr>
          <w:rFonts w:ascii="Calibri" w:hAnsi="Calibri"/>
          <w:b/>
          <w:color w:val="203748"/>
        </w:rPr>
        <w:t>CAMBRIDGE-DRAVIDIAN-RURAL — Transforming Rural Relations — The Dravidian Model</w:t>
      </w:r>
    </w:p>
    <w:p>
      <w:pPr>
        <w:spacing w:after="80"/>
        <w:ind w:left="288"/>
      </w:pPr>
      <w:r>
        <w:rPr>
          <w:rFonts w:ascii="Calibri" w:hAnsi="Calibri"/>
        </w:rPr>
        <w:t xml:space="preserve">T1 · canonical comparative anchor. education, infrastructure, welfare and caste mobilisation enabling diversification from caste-bound rural labour. Limite : Tamil Nadu-specific synthesis; land reform and welfare effects are heterogeneous. </w:t>
      </w:r>
      <w:hyperlink r:id="rId19">
        <w:r>
          <w:rPr>
            <w:color w:val="2E74B5"/>
            <w:u w:val="single"/>
          </w:rPr>
          <w:t>Lien source</w:t>
        </w:r>
      </w:hyperlink>
    </w:p>
    <w:p>
      <w:pPr>
        <w:keepNext/>
        <w:keepLines/>
      </w:pPr>
      <w:r>
        <w:rPr>
          <w:rFonts w:ascii="Calibri" w:hAnsi="Calibri"/>
          <w:b/>
          <w:color w:val="203748"/>
        </w:rPr>
        <w:t>CAMBRIDGE-INDONESIA-LANGUAGE — National Language and Nation-Building: The Case of Bahasa Indonesia</w:t>
      </w:r>
    </w:p>
    <w:p>
      <w:pPr>
        <w:spacing w:after="80"/>
        <w:ind w:left="288"/>
      </w:pPr>
      <w:r>
        <w:rPr>
          <w:rFonts w:ascii="Calibri" w:hAnsi="Calibri"/>
        </w:rPr>
        <w:t xml:space="preserve">T1 · canonical comparative anchor. choice of Malay-based Indonesian rather than majority Javanese and nation-building effects. Limite : language choice cannot by itself explain Indonesia's political stability or development. </w:t>
      </w:r>
      <w:hyperlink r:id="rId20">
        <w:r>
          <w:rPr>
            <w:color w:val="2E74B5"/>
            <w:u w:val="single"/>
          </w:rPr>
          <w:t>Lien source</w:t>
        </w:r>
      </w:hyperlink>
    </w:p>
    <w:p>
      <w:pPr>
        <w:keepNext/>
        <w:keepLines/>
      </w:pPr>
      <w:r>
        <w:rPr>
          <w:rFonts w:ascii="Calibri" w:hAnsi="Calibri"/>
          <w:b/>
          <w:color w:val="203748"/>
        </w:rPr>
        <w:t>CAMBRIDGE-INWARD-ECONOMY — Sri Lanka — National Strategies for Regional Integration</w:t>
      </w:r>
    </w:p>
    <w:p>
      <w:pPr>
        <w:spacing w:after="80"/>
        <w:ind w:left="288"/>
      </w:pPr>
      <w:r>
        <w:rPr>
          <w:rFonts w:ascii="Calibri" w:hAnsi="Calibri"/>
        </w:rPr>
        <w:t xml:space="preserve">T1 · canonical anchor. 1960s–1970s inward-looking dirigisme, terms-of-trade pressures and 1977 outward-policy reversal. Limite : macro-policy synthesis; does not isolate language policy as a growth determinant. </w:t>
      </w:r>
      <w:hyperlink r:id="rId21">
        <w:r>
          <w:rPr>
            <w:color w:val="2E74B5"/>
            <w:u w:val="single"/>
          </w:rPr>
          <w:t>Lien source</w:t>
        </w:r>
      </w:hyperlink>
    </w:p>
    <w:p>
      <w:pPr>
        <w:keepNext/>
        <w:keepLines/>
      </w:pPr>
      <w:r>
        <w:rPr>
          <w:rFonts w:ascii="Calibri" w:hAnsi="Calibri"/>
          <w:b/>
          <w:color w:val="203748"/>
        </w:rPr>
        <w:t>CAMBRIDGE-JAFFNA-TEMPLE-1968 — The Political Construction of Defensive Nationalism: The 1968 Temple-Entry Crisis in Northern Sri Lanka</w:t>
      </w:r>
    </w:p>
    <w:p>
      <w:pPr>
        <w:spacing w:after="80"/>
        <w:ind w:left="288"/>
      </w:pPr>
      <w:r>
        <w:rPr>
          <w:rFonts w:ascii="Calibri" w:hAnsi="Calibri"/>
        </w:rPr>
        <w:t xml:space="preserve">T1 · canonical anchor. Maviddapuram temple-entry conflict, caste mobilization and subsequent Tamil political unification. Limite : one crisis used analytically; do not infer disappearance of caste after 1968. </w:t>
      </w:r>
      <w:hyperlink r:id="rId22">
        <w:r>
          <w:rPr>
            <w:color w:val="2E74B5"/>
            <w:u w:val="single"/>
          </w:rPr>
          <w:t>Lien source</w:t>
        </w:r>
      </w:hyperlink>
    </w:p>
    <w:p>
      <w:pPr>
        <w:keepNext/>
        <w:keepLines/>
      </w:pPr>
      <w:r>
        <w:rPr>
          <w:rFonts w:ascii="Calibri" w:hAnsi="Calibri"/>
          <w:b/>
          <w:color w:val="203748"/>
        </w:rPr>
        <w:t>CAMBRIDGE-LANGUAGE-DECOLONIZATION — Guardians of the Law — Buddhism and official-language politics</w:t>
      </w:r>
    </w:p>
    <w:p>
      <w:pPr>
        <w:spacing w:after="80"/>
        <w:ind w:left="288"/>
      </w:pPr>
      <w:r>
        <w:rPr>
          <w:rFonts w:ascii="Calibri" w:hAnsi="Calibri"/>
        </w:rPr>
        <w:t xml:space="preserve">T1 · canonical anchor. Sinhala-only as postcolonial populist decolonization and linguistic nationalism. Limite : constitutional-law and religion lens; distinguish decolonization motive from distributive ethnic effects. </w:t>
      </w:r>
      <w:hyperlink r:id="rId23">
        <w:r>
          <w:rPr>
            <w:color w:val="2E74B5"/>
            <w:u w:val="single"/>
          </w:rPr>
          <w:t>Lien source</w:t>
        </w:r>
      </w:hyperlink>
    </w:p>
    <w:p>
      <w:pPr>
        <w:keepNext/>
        <w:keepLines/>
      </w:pPr>
      <w:r>
        <w:rPr>
          <w:rFonts w:ascii="Calibri" w:hAnsi="Calibri"/>
          <w:b/>
          <w:color w:val="203748"/>
        </w:rPr>
        <w:t>CAMBRIDGE-LANGUAGE-JAFFNA — Trilingual Blunders: Signboards, Social Media, and Transnational Sri Lankan Tamil Publics</w:t>
      </w:r>
    </w:p>
    <w:p>
      <w:pPr>
        <w:spacing w:after="80"/>
        <w:ind w:left="288"/>
      </w:pPr>
      <w:r>
        <w:rPr>
          <w:rFonts w:ascii="Calibri" w:hAnsi="Calibri"/>
        </w:rPr>
        <w:t xml:space="preserve">T1 · corroborating bridge. post-1956 language policy and its particular effect on English-educated Jaffna Tamils. Limite : language/public-culture focus; not a complete labour-market history. </w:t>
      </w:r>
      <w:hyperlink r:id="rId24">
        <w:r>
          <w:rPr>
            <w:color w:val="2E74B5"/>
            <w:u w:val="single"/>
          </w:rPr>
          <w:t>Lien source</w:t>
        </w:r>
      </w:hyperlink>
    </w:p>
    <w:p>
      <w:pPr>
        <w:keepNext/>
        <w:keepLines/>
      </w:pPr>
      <w:r>
        <w:rPr>
          <w:rFonts w:ascii="Calibri" w:hAnsi="Calibri"/>
          <w:b/>
          <w:color w:val="203748"/>
        </w:rPr>
        <w:t>CAMBRIDGE-LTTE-PUBLIC-AUTHORITY — Public Authority Under Sovereign Encroachment: Leadership in two villages during Sri Lanka's war</w:t>
      </w:r>
    </w:p>
    <w:p>
      <w:pPr>
        <w:spacing w:after="80"/>
        <w:ind w:left="288"/>
      </w:pPr>
      <w:r>
        <w:rPr>
          <w:rFonts w:ascii="Calibri" w:hAnsi="Calibri"/>
        </w:rPr>
        <w:t xml:space="preserve">T1 · canonical anchor. LTTE attempts to curb caste-based temple rights and limits imposed by temple/kudi authority. Limite : village/temple cases; not a census of all LTTE-controlled society. </w:t>
      </w:r>
      <w:hyperlink r:id="rId25">
        <w:r>
          <w:rPr>
            <w:color w:val="2E74B5"/>
            <w:u w:val="single"/>
          </w:rPr>
          <w:t>Lien source</w:t>
        </w:r>
      </w:hyperlink>
    </w:p>
    <w:p>
      <w:pPr>
        <w:keepNext/>
        <w:keepLines/>
      </w:pPr>
      <w:r>
        <w:rPr>
          <w:rFonts w:ascii="Calibri" w:hAnsi="Calibri"/>
          <w:b/>
          <w:color w:val="203748"/>
        </w:rPr>
        <w:t>CAMBRIDGE-NAM-KOTELAWALA — Three meanings of colonialism: Nehru, Sukarno, and Kotelawala debate the future of the Third World Movement (1954–61)</w:t>
      </w:r>
    </w:p>
    <w:p>
      <w:pPr>
        <w:spacing w:after="80"/>
        <w:ind w:left="288"/>
      </w:pPr>
      <w:r>
        <w:rPr>
          <w:rFonts w:ascii="Calibri" w:hAnsi="Calibri"/>
        </w:rPr>
        <w:t xml:space="preserve">T1 · canonical anchor. Colombo Powers 1954, Bandung 1955, Belgrade 1961 and Ceylon's contested place in early non-alignment. Limite : focuses on elite diplomatic concepts of colonialism rather than domestic political economy. </w:t>
      </w:r>
      <w:hyperlink r:id="rId26">
        <w:r>
          <w:rPr>
            <w:color w:val="2E74B5"/>
            <w:u w:val="single"/>
          </w:rPr>
          <w:t>Lien source</w:t>
        </w:r>
      </w:hyperlink>
    </w:p>
    <w:p>
      <w:pPr>
        <w:keepNext/>
        <w:keepLines/>
      </w:pPr>
      <w:r>
        <w:rPr>
          <w:rFonts w:ascii="Calibri" w:hAnsi="Calibri"/>
          <w:b/>
          <w:color w:val="203748"/>
        </w:rPr>
        <w:t>CAMBRIDGE-NAM-NIEO — Crude Alliance — Economic Decolonisation and Oil Power in the Non-Aligned World</w:t>
      </w:r>
    </w:p>
    <w:p>
      <w:pPr>
        <w:spacing w:after="80"/>
        <w:ind w:left="288"/>
      </w:pPr>
      <w:r>
        <w:rPr>
          <w:rFonts w:ascii="Calibri" w:hAnsi="Calibri"/>
        </w:rPr>
        <w:t xml:space="preserve">T1 · canonical anchor. Sirimavo Bandaranaike, 1976 Colombo NAM summit and New International Economic Order ambitions. Limite : 1970s oil/economic-decolonization focus; do not back-project radical NAM economics to Bandung as a settled doctrine. </w:t>
      </w:r>
      <w:hyperlink r:id="rId27">
        <w:r>
          <w:rPr>
            <w:color w:val="2E74B5"/>
            <w:u w:val="single"/>
          </w:rPr>
          <w:t>Lien source</w:t>
        </w:r>
      </w:hyperlink>
    </w:p>
    <w:p>
      <w:pPr>
        <w:keepNext/>
        <w:keepLines/>
      </w:pPr>
      <w:r>
        <w:rPr>
          <w:rFonts w:ascii="Calibri" w:hAnsi="Calibri"/>
          <w:b/>
          <w:color w:val="203748"/>
        </w:rPr>
        <w:t>CAMBRIDGE-POONA-PACT — The Poona Pact, Indian National Congress and representation of Dalits in colonial India</w:t>
      </w:r>
    </w:p>
    <w:p>
      <w:pPr>
        <w:spacing w:after="80"/>
        <w:ind w:left="288"/>
      </w:pPr>
      <w:r>
        <w:rPr>
          <w:rFonts w:ascii="Calibri" w:hAnsi="Calibri"/>
        </w:rPr>
        <w:t xml:space="preserve">T1 · corroborating comparative anchor. Ambedkar, Gandhi, reserved seats and contested models of Dalit representation. Limite : India-wide electoral representation; Tamil Nadu social policy requires separate sources. </w:t>
      </w:r>
      <w:hyperlink r:id="rId28">
        <w:r>
          <w:rPr>
            <w:color w:val="2E74B5"/>
            <w:u w:val="single"/>
          </w:rPr>
          <w:t>Lien source</w:t>
        </w:r>
      </w:hyperlink>
    </w:p>
    <w:p>
      <w:pPr>
        <w:keepNext/>
        <w:keepLines/>
      </w:pPr>
      <w:r>
        <w:rPr>
          <w:rFonts w:ascii="Calibri" w:hAnsi="Calibri"/>
          <w:b/>
          <w:color w:val="203748"/>
        </w:rPr>
        <w:t>CAMBRIDGE-STANDARDIZATION — Economic Liberalization versus Political Pluralism in Sri Lanka?</w:t>
      </w:r>
    </w:p>
    <w:p>
      <w:pPr>
        <w:spacing w:after="80"/>
        <w:ind w:left="288"/>
      </w:pPr>
      <w:r>
        <w:rPr>
          <w:rFonts w:ascii="Calibri" w:hAnsi="Calibri"/>
        </w:rPr>
        <w:t xml:space="preserve">T1 · canonical anchor. Jaffna specialization in higher education and effect of university standardization/district quotas. Limite : political-economy synthesis; pair with admissions-specific literature. </w:t>
      </w:r>
      <w:hyperlink r:id="rId29">
        <w:r>
          <w:rPr>
            <w:color w:val="2E74B5"/>
            <w:u w:val="single"/>
          </w:rPr>
          <w:t>Lien source</w:t>
        </w:r>
      </w:hyperlink>
    </w:p>
    <w:p>
      <w:pPr>
        <w:keepNext/>
        <w:keepLines/>
      </w:pPr>
      <w:r>
        <w:rPr>
          <w:rFonts w:ascii="Calibri" w:hAnsi="Calibri"/>
          <w:b/>
          <w:color w:val="203748"/>
        </w:rPr>
        <w:t>CAMBRIDGE-STATE-NATION — Comparative Theory and Political Practice: Do We Need a State-Nation Model as Well as a Nation-State Model?</w:t>
      </w:r>
    </w:p>
    <w:p>
      <w:pPr>
        <w:spacing w:after="80"/>
        <w:ind w:left="288"/>
      </w:pPr>
      <w:r>
        <w:rPr>
          <w:rFonts w:ascii="Calibri" w:hAnsi="Calibri"/>
        </w:rPr>
        <w:t xml:space="preserve">T1 · corroborating anchor. Tamil success in English civil-service examinations and absence of separatist demands at independence. Limite : comparative theory article; does not quantify every administrative grade. </w:t>
      </w:r>
      <w:hyperlink r:id="rId30">
        <w:r>
          <w:rPr>
            <w:color w:val="2E74B5"/>
            <w:u w:val="single"/>
          </w:rPr>
          <w:t>Lien source</w:t>
        </w:r>
      </w:hyperlink>
    </w:p>
    <w:p>
      <w:pPr>
        <w:keepNext/>
        <w:keepLines/>
      </w:pPr>
      <w:r>
        <w:rPr>
          <w:rFonts w:ascii="Calibri" w:hAnsi="Calibri"/>
          <w:b/>
          <w:color w:val="203748"/>
        </w:rPr>
        <w:t>CAMBRIDGE-THIRANAGAMA-REVIEW — In My Mother's House: Civil War in Sri Lanka — review</w:t>
      </w:r>
    </w:p>
    <w:p>
      <w:pPr>
        <w:spacing w:after="80"/>
        <w:ind w:left="288"/>
      </w:pPr>
      <w:r>
        <w:rPr>
          <w:rFonts w:ascii="Calibri" w:hAnsi="Calibri"/>
        </w:rPr>
        <w:t xml:space="preserve">T1 · corroborating bridge. war-related transformations of kinship, property and dowry in Tamil communities. Limite : book review; use monograph for detailed closure. </w:t>
      </w:r>
      <w:hyperlink r:id="rId31">
        <w:r>
          <w:rPr>
            <w:color w:val="2E74B5"/>
            <w:u w:val="single"/>
          </w:rPr>
          <w:t>Lien source</w:t>
        </w:r>
      </w:hyperlink>
    </w:p>
    <w:p>
      <w:pPr>
        <w:keepNext/>
        <w:keepLines/>
      </w:pPr>
      <w:r>
        <w:rPr>
          <w:rFonts w:ascii="Calibri" w:hAnsi="Calibri"/>
          <w:b/>
          <w:color w:val="203748"/>
        </w:rPr>
        <w:t>CAMBRIDGE-TWO-SOCIETIES — The Two Societies: a Study of Town Life in Nineteenth-Century Ceylon</w:t>
      </w:r>
    </w:p>
    <w:p>
      <w:pPr>
        <w:spacing w:after="80"/>
        <w:ind w:left="288"/>
      </w:pPr>
      <w:r>
        <w:rPr>
          <w:rFonts w:ascii="Calibri" w:hAnsi="Calibri"/>
        </w:rPr>
        <w:t xml:space="preserve">T1 · corroborating anchor. comparative nineteenth-century education including earlier stronger female English education in Jaffna. Limite : urban and missionary evidence; avoid treating all northern households as beneficiaries. </w:t>
      </w:r>
      <w:hyperlink r:id="rId32">
        <w:r>
          <w:rPr>
            <w:color w:val="2E74B5"/>
            <w:u w:val="single"/>
          </w:rPr>
          <w:t>Lien source</w:t>
        </w:r>
      </w:hyperlink>
    </w:p>
    <w:p>
      <w:pPr>
        <w:keepNext/>
        <w:keepLines/>
      </w:pPr>
      <w:r>
        <w:rPr>
          <w:rFonts w:ascii="Calibri" w:hAnsi="Calibri"/>
          <w:b/>
          <w:color w:val="203748"/>
        </w:rPr>
        <w:t>FRUS-CEYLON-1958 — The Outlook for Ceylon, NIE 54-58</w:t>
      </w:r>
    </w:p>
    <w:p>
      <w:pPr>
        <w:spacing w:after="80"/>
        <w:ind w:left="288"/>
      </w:pPr>
      <w:r>
        <w:rPr>
          <w:rFonts w:ascii="Calibri" w:hAnsi="Calibri"/>
        </w:rPr>
        <w:t xml:space="preserve">T0 · corroborating anchor. contemporary US assessment of Bandaranaike neutralism, removal of British base rights and expanded Sino-Soviet relations. Limite : US intelligence perspective with Cold War bias; strong for contemporaneous actions, weak as neutral interpretation. </w:t>
      </w:r>
      <w:hyperlink r:id="rId33">
        <w:r>
          <w:rPr>
            <w:color w:val="2E74B5"/>
            <w:u w:val="single"/>
          </w:rPr>
          <w:t>Lien source</w:t>
        </w:r>
      </w:hyperlink>
    </w:p>
    <w:p>
      <w:pPr>
        <w:keepNext/>
        <w:keepLines/>
      </w:pPr>
      <w:r>
        <w:rPr>
          <w:rFonts w:ascii="Calibri" w:hAnsi="Calibri"/>
          <w:b/>
          <w:color w:val="203748"/>
        </w:rPr>
        <w:t>JSTOR-TAMIL-MARRIAGE-2019 — Marrying for a Future: Transnational Sri Lankan Tamil Marriages in the Shadow of War</w:t>
      </w:r>
    </w:p>
    <w:p>
      <w:pPr>
        <w:spacing w:after="80"/>
        <w:ind w:left="288"/>
      </w:pPr>
      <w:r>
        <w:rPr>
          <w:rFonts w:ascii="Calibri" w:hAnsi="Calibri"/>
        </w:rPr>
        <w:t xml:space="preserve">T1 · canonical anchor. war, diaspora, marriage migration, kinship reconstruction and social mobility. Limite : marriage migration is not equivalent to forced marriage or a population-wide marriage pattern. </w:t>
      </w:r>
      <w:hyperlink r:id="rId34">
        <w:r>
          <w:rPr>
            <w:color w:val="2E74B5"/>
            <w:u w:val="single"/>
          </w:rPr>
          <w:t>Lien source</w:t>
        </w:r>
      </w:hyperlink>
    </w:p>
    <w:p>
      <w:pPr>
        <w:keepNext/>
        <w:keepLines/>
      </w:pPr>
      <w:r>
        <w:rPr>
          <w:rFonts w:ascii="Calibri" w:hAnsi="Calibri"/>
          <w:b/>
          <w:color w:val="203748"/>
        </w:rPr>
        <w:t>SRI-LANKA-PARLIAMENT-LANGUAGE — Sri Lanka constitutional amendments through the Seventeenth Amendment</w:t>
      </w:r>
    </w:p>
    <w:p>
      <w:pPr>
        <w:spacing w:after="80"/>
        <w:ind w:left="288"/>
      </w:pPr>
      <w:r>
        <w:rPr>
          <w:rFonts w:ascii="Calibri" w:hAnsi="Calibri"/>
        </w:rPr>
        <w:t xml:space="preserve">T0 · canonical anchor. Tamil official-language status, English link-language status, Sinhala/Tamil administration, legislation and courts after 1987–88. Limite : constitutional law does not establish equal implementation in practice. </w:t>
      </w:r>
      <w:hyperlink r:id="rId35">
        <w:r>
          <w:rPr>
            <w:color w:val="2E74B5"/>
            <w:u w:val="single"/>
          </w:rPr>
          <w:t>Lien source</w:t>
        </w:r>
      </w:hyperlink>
    </w:p>
    <w:p>
      <w:pPr>
        <w:keepNext/>
        <w:keepLines/>
      </w:pPr>
      <w:r>
        <w:rPr>
          <w:rFonts w:ascii="Calibri" w:hAnsi="Calibri"/>
          <w:b/>
          <w:color w:val="203748"/>
        </w:rPr>
        <w:t>SRI-LANKA-SOCIAL-DISABILITIES-1957 — Prevention of Social Disabilities Act No. 21 of 1957</w:t>
      </w:r>
    </w:p>
    <w:p>
      <w:pPr>
        <w:spacing w:after="80"/>
        <w:ind w:left="288"/>
      </w:pPr>
      <w:r>
        <w:rPr>
          <w:rFonts w:ascii="Calibri" w:hAnsi="Calibri"/>
        </w:rPr>
        <w:t xml:space="preserve">T0 · canonical anchor. statutory prohibition of caste-based social disabilities. Limite : law on the books does not establish enforcement or social compliance. </w:t>
      </w:r>
      <w:hyperlink r:id="rId36">
        <w:r>
          <w:rPr>
            <w:color w:val="2E74B5"/>
            <w:u w:val="single"/>
          </w:rPr>
          <w:t>Lien source</w:t>
        </w:r>
      </w:hyperlink>
    </w:p>
    <w:p>
      <w:pPr>
        <w:keepNext/>
        <w:keepLines/>
      </w:pPr>
      <w:r>
        <w:rPr>
          <w:rFonts w:ascii="Calibri" w:hAnsi="Calibri"/>
          <w:b/>
          <w:color w:val="203748"/>
        </w:rPr>
        <w:t>SRI-LANKA-SOCIAL-DISABILITIES-1971 — Prevention of Social Disabilities (Amendment) Act No. 18 of 1971</w:t>
      </w:r>
    </w:p>
    <w:p>
      <w:pPr>
        <w:spacing w:after="80"/>
        <w:ind w:left="288"/>
      </w:pPr>
      <w:r>
        <w:rPr>
          <w:rFonts w:ascii="Calibri" w:hAnsi="Calibri"/>
        </w:rPr>
        <w:t xml:space="preserve">T0 · canonical anchor. stronger penalties, police powers and evidentiary rules against caste discrimination. Limite : legal text; enforcement requires separate evidence. </w:t>
      </w:r>
      <w:hyperlink r:id="rId37">
        <w:r>
          <w:rPr>
            <w:color w:val="2E74B5"/>
            <w:u w:val="single"/>
          </w:rPr>
          <w:t>Lien source</w:t>
        </w:r>
      </w:hyperlink>
    </w:p>
    <w:p>
      <w:pPr>
        <w:keepNext/>
        <w:keepLines/>
      </w:pPr>
      <w:r>
        <w:rPr>
          <w:rFonts w:ascii="Calibri" w:hAnsi="Calibri"/>
          <w:b/>
          <w:color w:val="203748"/>
        </w:rPr>
        <w:t>TN-RESERVATION-OFFICIAL — Tamil Nadu Backward Classes Department — Reservation Benefits</w:t>
      </w:r>
    </w:p>
    <w:p>
      <w:pPr>
        <w:spacing w:after="80"/>
        <w:ind w:left="288"/>
      </w:pPr>
      <w:r>
        <w:rPr>
          <w:rFonts w:ascii="Calibri" w:hAnsi="Calibri"/>
        </w:rPr>
        <w:t xml:space="preserve">T0 · canonical comparative anchor. current 69 percent reservation architecture across BC/MBC/DNC/SC/ST categories. Limite : current administrative policy; not a history of how each quota evolved. </w:t>
      </w:r>
      <w:hyperlink r:id="rId38">
        <w:r>
          <w:rPr>
            <w:color w:val="2E74B5"/>
            <w:u w:val="single"/>
          </w:rPr>
          <w:t>Lien source</w:t>
        </w:r>
      </w:hyperlink>
    </w:p>
    <w:p>
      <w:pPr>
        <w:keepNext/>
        <w:keepLines/>
      </w:pPr>
      <w:r>
        <w:rPr>
          <w:rFonts w:ascii="Calibri" w:hAnsi="Calibri"/>
          <w:b/>
          <w:color w:val="203748"/>
        </w:rPr>
        <w:t>WORLD-BANK-ENGLISH-2014 — Sri Lanka Higher Education: Innovative Learning to Prepare Employment Ready Graduates</w:t>
      </w:r>
    </w:p>
    <w:p>
      <w:pPr>
        <w:spacing w:after="80"/>
        <w:ind w:left="288"/>
      </w:pPr>
      <w:r>
        <w:rPr>
          <w:rFonts w:ascii="Calibri" w:hAnsi="Calibri"/>
        </w:rPr>
        <w:t xml:space="preserve">T2 · corroborating bridge. English, communication and employability skills as continuing labour-market priorities. Limite : development-programme perspective; cannot establish a counterfactual growth loss caused by 1950s language policy. </w:t>
      </w:r>
      <w:hyperlink r:id="rId39">
        <w:r>
          <w:rPr>
            <w:color w:val="2E74B5"/>
            <w:u w:val="single"/>
          </w:rPr>
          <w:t>Lien source</w:t>
        </w:r>
      </w:hyperlink>
    </w:p>
    <w:p>
      <w:pPr>
        <w:keepNext/>
        <w:keepLines/>
      </w:pPr>
      <w:r>
        <w:rPr>
          <w:rFonts w:ascii="Calibri" w:hAnsi="Calibri"/>
          <w:b/>
          <w:color w:val="203748"/>
        </w:rPr>
        <w:t>WORLD-BANK-REVIVE-2026 — Sri Lanka and World Bank Group Launch New Partnership to Create Jobs, Attract Private Investment</w:t>
      </w:r>
    </w:p>
    <w:p>
      <w:pPr>
        <w:spacing w:after="80"/>
        <w:ind w:left="288"/>
      </w:pPr>
      <w:r>
        <w:rPr>
          <w:rFonts w:ascii="Calibri" w:hAnsi="Calibri"/>
        </w:rPr>
        <w:t xml:space="preserve">T2 · corroborating current anchor. Northern/Eastern regions as lagging economies and 2026 REVIVE investment including Jaffna. Limite : programme targets are prospective, not observed outcomes. </w:t>
      </w:r>
      <w:hyperlink r:id="rId40">
        <w:r>
          <w:rPr>
            <w:color w:val="2E74B5"/>
            <w:u w:val="single"/>
          </w:rPr>
          <w:t>Lien source</w:t>
        </w:r>
      </w:hyperlink>
    </w:p>
    <w:p>
      <w:pPr>
        <w:keepNext/>
        <w:keepLines/>
      </w:pPr>
      <w:r>
        <w:rPr>
          <w:rFonts w:ascii="Calibri" w:hAnsi="Calibri"/>
          <w:b/>
          <w:color w:val="203748"/>
        </w:rPr>
        <w:t>WORLD-BANK-TN-BRIEF — India States Briefs — Tamil Nadu</w:t>
      </w:r>
    </w:p>
    <w:p>
      <w:pPr>
        <w:spacing w:after="80"/>
        <w:ind w:left="288"/>
      </w:pPr>
      <w:r>
        <w:rPr>
          <w:rFonts w:ascii="Calibri" w:hAnsi="Calibri"/>
        </w:rPr>
        <w:t xml:space="preserve">T2 · corroborating comparative anchor. fast growth, low poverty, farm-to-nonfarm transition and persistent social-group gaps in Tamil Nadu. Limite : 2018 development brief; useful for broad outcomes, not causal identification or current ranking. </w:t>
      </w:r>
      <w:hyperlink r:id="rId41">
        <w:r>
          <w:rPr>
            <w:color w:val="2E74B5"/>
            <w:u w:val="single"/>
          </w:rPr>
          <w:t>Lien 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C"/>
        <w:sz w:val="18"/>
      </w:rPr>
      <w:t>Sri Lanka · 1948–2026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usalCallout">
    <w:name w:val="Causal Callout"/>
    <w:pPr>
      <w:keepLines/>
      <w:spacing w:before="120" w:after="200" w:line="290" w:lineRule="auto"/>
      <w:ind w:left="288" w:right="173"/>
    </w:pPr>
    <w:rPr>
      <w:rFonts w:ascii="Calibri" w:hAnsi="Calibri"/>
      <w:color w:val="20374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db.org/projects/44065-013/main" TargetMode="External"/><Relationship Id="rId12" Type="http://schemas.openxmlformats.org/officeDocument/2006/relationships/hyperlink" Target="https://www.adb.org/projects/42254-013/main" TargetMode="External"/><Relationship Id="rId13" Type="http://schemas.openxmlformats.org/officeDocument/2006/relationships/hyperlink" Target="https://www.bps.go.id/en/publication/2024/12/12/6feb932e24186429686fb57b/profile-of-ethnic-groups-and-regional-language-diversity-results-of-the-2020-population-census-long-form.html" TargetMode="External"/><Relationship Id="rId14" Type="http://schemas.openxmlformats.org/officeDocument/2006/relationships/hyperlink" Target="https://www.cambridge.org/core/product/03A03B9165EE0B57323625D2E9681B0D/core-reader" TargetMode="External"/><Relationship Id="rId15" Type="http://schemas.openxmlformats.org/officeDocument/2006/relationships/hyperlink" Target="https://www.cambridge.org/core/journals/enterprise-and-society/article/caste-embeddedness-and-entrepreneurship-in-colonial-and-contemporary-india/19BE22B6720CF070882825048609D2E9" TargetMode="External"/><Relationship Id="rId16" Type="http://schemas.openxmlformats.org/officeDocument/2006/relationships/hyperlink" Target="https://www.cambridge.org/core/books/abs/dravidian-model/broadening-growth-and-democratising-capital/6FFFF50EDA8F739B02F5AFD230D01723" TargetMode="External"/><Relationship Id="rId17" Type="http://schemas.openxmlformats.org/officeDocument/2006/relationships/hyperlink" Target="https://www.cambridge.org/core/books/abs/dravidian-model/democratising-education/FA674D37C8B0DF58A27743C697F9E26B" TargetMode="External"/><Relationship Id="rId18" Type="http://schemas.openxmlformats.org/officeDocument/2006/relationships/hyperlink" Target="https://www.cambridge.org/core/books/the-dravidian-model/48F62283E95BC93C03EE0498EA9DA6A2" TargetMode="External"/><Relationship Id="rId19" Type="http://schemas.openxmlformats.org/officeDocument/2006/relationships/hyperlink" Target="https://www.cambridge.org/core/books/dravidian-model/transforming-rural-relations/F58396B8750FFE0B6F563C0D306213FA" TargetMode="External"/><Relationship Id="rId20" Type="http://schemas.openxmlformats.org/officeDocument/2006/relationships/hyperlink" Target="https://www.cambridge.org/core/books/language-nation-and-development-in-southeast-asia/national-language-and-nationbuilding-the-case-of-bahasa-indonesia/ACDC31A8D3C2602198B2271AE63AC271" TargetMode="External"/><Relationship Id="rId21" Type="http://schemas.openxmlformats.org/officeDocument/2006/relationships/hyperlink" Target="https://www.cambridge.org/core/books/abs/national-strategies-for-regional-integration/sri-lanka/E17B014A6D4D5923E43C8A2F3DCD5A4F" TargetMode="External"/><Relationship Id="rId22" Type="http://schemas.openxmlformats.org/officeDocument/2006/relationships/hyperlink" Target="https://www.cambridge.org/core/journals/journal-of-asian-studies/article/abs/political-construction-of-defensive-nationalism-the-1968-templeentry-crisis-in-northern-sri-lanka/E6CB11349759513233EC35DAE1107568" TargetMode="External"/><Relationship Id="rId23" Type="http://schemas.openxmlformats.org/officeDocument/2006/relationships/hyperlink" Target="https://www.cambridge.org/core/product/identifier/9781009286022%23CN-bp-7/type/book_part" TargetMode="External"/><Relationship Id="rId24" Type="http://schemas.openxmlformats.org/officeDocument/2006/relationships/hyperlink" Target="https://www.cambridge.org/core/journals/signs-and-society/article/trilingual-blunders-signboards-social-media-and-transnational-sri-lankan-tamil-publics/92033464269CDE3AA06237E8A8DFED49" TargetMode="External"/><Relationship Id="rId25" Type="http://schemas.openxmlformats.org/officeDocument/2006/relationships/hyperlink" Target="https://www.cambridge.org/core/journals/modern-asian-studies/article/public-authority-under-sovereign-encroachment-leadership-in-two-villages-during-sri-lankas-war/795BB9F94F6FDCF94F69073DA3509D80" TargetMode="External"/><Relationship Id="rId26" Type="http://schemas.openxmlformats.org/officeDocument/2006/relationships/hyperlink" Target="https://www.cambridge.org/core/journals/journal-of-global-history/article/three-meanings-of-colonialism-nehru-sukarno-and-kotelawala-debate-the-future-of-the-third-world-movement-195461/41920E719970B4E2D14BF0AF908CC9B3" TargetMode="External"/><Relationship Id="rId27" Type="http://schemas.openxmlformats.org/officeDocument/2006/relationships/hyperlink" Target="https://www.cambridge.org/core/journals/contemporary-european-history/article/crude-alliance-economic-decolonisation-and-oil-power-in-the-nonaligned-world/5149F4D843DC0D84BB91ED376DE7F8BD" TargetMode="External"/><Relationship Id="rId28" Type="http://schemas.openxmlformats.org/officeDocument/2006/relationships/hyperlink" Target="https://www.cambridge.org/core/journals/international-journal-of-asian-studies/article/poona-pact-indian-national-congress-and-the-descriptive-and-substantive-representation-of-dalits-in-colonial-india/C0A2334CEAF6C10CEDE652CA240663E3" TargetMode="External"/><Relationship Id="rId29" Type="http://schemas.openxmlformats.org/officeDocument/2006/relationships/hyperlink" Target="https://www.cambridge.org/core/journals/modern-asian-studies/article/economic-liberalization-versus-political-pluralism-in-sri-lanka/DAB134EA08B237ACE6668FB035751C01" TargetMode="External"/><Relationship Id="rId30" Type="http://schemas.openxmlformats.org/officeDocument/2006/relationships/hyperlink" Target="https://www.cambridge.org/core/journals/government-and-opposition/article/comparative-theory-and-political-practice-do-we-need-a-statenation-model-as-well-as-a-nationstate-model1/987676B3508546069FEE44667A16D77F" TargetMode="External"/><Relationship Id="rId31" Type="http://schemas.openxmlformats.org/officeDocument/2006/relationships/hyperlink" Target="https://www.cambridge.org/core/journals/journal-of-asian-studies/article/in-my-mothers-house-civil-war-in-sri-lanka-by-sharika-thiranagama-philadelphia-university-of-pennsylvania-press-2011-xvi-296-pp-5995-cloth/2BBBCAB83AD3032B328E6A651187AD4E" TargetMode="External"/><Relationship Id="rId32" Type="http://schemas.openxmlformats.org/officeDocument/2006/relationships/hyperlink" Target="https://www.cambridge.org/core/journals/historical-journal/article/abs/v-the-two-societies-a-study-of-town-life-in-nineteenthcentury-ceylon/5E51E0C5AFE93CDD3F2F49F8187E5E1F" TargetMode="External"/><Relationship Id="rId33" Type="http://schemas.openxmlformats.org/officeDocument/2006/relationships/hyperlink" Target="https://history.state.gov/historicaldocuments/frus1958-60v15/d182" TargetMode="External"/><Relationship Id="rId34" Type="http://schemas.openxmlformats.org/officeDocument/2006/relationships/hyperlink" Target="https://www.jstor.org/stable/j.ctvf34hmx" TargetMode="External"/><Relationship Id="rId35" Type="http://schemas.openxmlformats.org/officeDocument/2006/relationships/hyperlink" Target="https://www.parliament.lk/en/constitution-amendments-upto-the-seventeenth-amendment" TargetMode="External"/><Relationship Id="rId36" Type="http://schemas.openxmlformats.org/officeDocument/2006/relationships/hyperlink" Target="https://www.srilankalaw.lk/index.php?id=931" TargetMode="External"/><Relationship Id="rId37" Type="http://schemas.openxmlformats.org/officeDocument/2006/relationships/hyperlink" Target="https://lankalaw.net/wp-content/uploads/2025/02/1971Y0V0C18A.html" TargetMode="External"/><Relationship Id="rId38" Type="http://schemas.openxmlformats.org/officeDocument/2006/relationships/hyperlink" Target="https://bcmbcmw.tn.gov.in/reservbenefits.htm" TargetMode="External"/><Relationship Id="rId39" Type="http://schemas.openxmlformats.org/officeDocument/2006/relationships/hyperlink" Target="https://www.worldbank.org/en/news/feature/2014/12/22/higher-education-innovative-learning-prepare-employment-ready-graduates" TargetMode="External"/><Relationship Id="rId40" Type="http://schemas.openxmlformats.org/officeDocument/2006/relationships/hyperlink" Target="https://www.worldbank.org/en/news/press-release/2026/04/01/sri-lanka-and-world-bank-group-launch-new-partnership-to-create-jobs-attract-private-investment" TargetMode="External"/><Relationship Id="rId41" Type="http://schemas.openxmlformats.org/officeDocument/2006/relationships/hyperlink" Target="https://www.worldbank.org/en/country/india/brief/india-states-briefs-tamil-na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1948–2026</dc:title>
  <dc:subject>Fresque historico-géographique — édition lecteur v2</dc:subject>
  <dc:creator>Projet tourisme-etude-historico-geographique</dc:creator>
  <cp:keywords>Sri Lanka, histoire, géographie, Jaffna, Polonnaruwa, reader edition</cp:keywords>
  <dc:description>Generated from promoted Markdown on 2026-08-18; narrative_proposal preset with editorial_cover.</dc:description>
  <cp:lastModifiedBy/>
  <cp:revision>1</cp:revision>
  <dcterms:created xsi:type="dcterms:W3CDTF">2013-12-23T23:15:00Z</dcterms:created>
  <dcterms:modified xsi:type="dcterms:W3CDTF">2013-12-23T23:15:00Z</dcterms:modified>
  <cp:category/>
</cp:coreProperties>
</file>