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360"/>
        <w:jc w:val="center"/>
      </w:pPr>
      <w:r>
        <w:rPr>
          <w:rFonts w:ascii="Calibri" w:hAnsi="Calibri"/>
          <w:b/>
          <w:color w:val="966F20"/>
          <w:sz w:val="20"/>
        </w:rPr>
        <w:t>FRESQUE HISTORICO-GÉOGRAPHIQUE · VOLUME 1</w:t>
      </w:r>
    </w:p>
    <w:p>
      <w:pPr>
        <w:spacing w:after="200"/>
        <w:jc w:val="center"/>
      </w:pPr>
      <w:r>
        <w:rPr>
          <w:rFonts w:ascii="Calibri" w:hAnsi="Calibri"/>
          <w:b/>
          <w:color w:val="203748"/>
          <w:sz w:val="60"/>
        </w:rPr>
        <w:t>Sri Lanka — des interfaces anciennes à l’État de 1948</w:t>
      </w:r>
    </w:p>
    <w:p>
      <w:pPr>
        <w:spacing w:after="1600"/>
        <w:jc w:val="center"/>
      </w:pPr>
      <w:r>
        <w:rPr>
          <w:rFonts w:ascii="Calibri" w:hAnsi="Calibri"/>
          <w:color w:val="1F4D78"/>
          <w:sz w:val="30"/>
        </w:rPr>
        <w:t>Jaffna, Polonnaruwa, réseaux de l’océan Indien, empires côtiers et héritages administratifs</w:t>
      </w:r>
    </w:p>
    <w:tbl>
      <w:tblPr>
        <w:tblW w:type="dxa" w:w="9360"/>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4F6F9"/>
            <w:tcBorders>
              <w:top w:val="single" w:sz="4" w:color="D7DBE2"/>
              <w:bottom w:val="single" w:sz="4" w:color="D7DBE2"/>
            </w:tcBorders>
          </w:tcPr>
          <w:p>
            <w:pPr>
              <w:jc w:val="left"/>
            </w:pPr>
            <w:r>
              <w:rPr>
                <w:rFonts w:ascii="Calibri" w:hAnsi="Calibri"/>
                <w:b/>
                <w:color w:val="5C636C"/>
                <w:sz w:val="18"/>
              </w:rPr>
              <w:t>ÉDITION LECTEUR V2</w:t>
              <w:br/>
            </w:r>
            <w:r>
              <w:rPr>
                <w:rFonts w:ascii="Calibri" w:hAnsi="Calibri"/>
                <w:color w:val="203748"/>
                <w:sz w:val="19"/>
              </w:rPr>
              <w:t>Markdown canonique Run 5 · Storytelling Run 6</w:t>
            </w:r>
          </w:p>
        </w:tc>
        <w:tc>
          <w:tcPr>
            <w:tcW w:type="dxa" w:w="4680"/>
            <w:tcMar>
              <w:top w:w="80" w:type="dxa"/>
              <w:start w:w="120" w:type="dxa"/>
              <w:bottom w:w="80" w:type="dxa"/>
              <w:end w:w="120" w:type="dxa"/>
            </w:tcMar>
            <w:shd w:fill="F4F6F9"/>
            <w:tcBorders>
              <w:top w:val="single" w:sz="4" w:color="D7DBE2"/>
              <w:bottom w:val="single" w:sz="4" w:color="D7DBE2"/>
            </w:tcBorders>
          </w:tcPr>
          <w:p>
            <w:pPr>
              <w:jc w:val="right"/>
            </w:pPr>
            <w:r>
              <w:rPr>
                <w:rFonts w:ascii="Calibri" w:hAnsi="Calibri"/>
                <w:b/>
                <w:color w:val="5C636C"/>
                <w:sz w:val="18"/>
              </w:rPr>
              <w:t>18 AOÛT 2026</w:t>
              <w:br/>
            </w:r>
            <w:r>
              <w:rPr>
                <w:rFonts w:ascii="Calibri" w:hAnsi="Calibri"/>
                <w:color w:val="203748"/>
                <w:sz w:val="19"/>
              </w:rPr>
              <w:t>Version vérifiée et traçable</w:t>
            </w:r>
          </w:p>
        </w:tc>
      </w:tr>
    </w:tbl>
    <w:p>
      <w:pPr>
        <w:spacing w:before="1240"/>
        <w:jc w:val="center"/>
      </w:pPr>
      <w:r>
        <w:rPr>
          <w:rFonts w:ascii="Calibri" w:hAnsi="Calibri"/>
          <w:i/>
          <w:color w:val="5C636C"/>
          <w:sz w:val="20"/>
        </w:rPr>
        <w:t>Une lecture chronologique guidée par les lieux, les mécanismes et leurs sources.</w:t>
      </w:r>
    </w:p>
    <w:p>
      <w:r>
        <w:br w:type="page"/>
      </w:r>
    </w:p>
    <w:p>
      <w:pPr>
        <w:pStyle w:val="Heading1"/>
      </w:pPr>
      <w:r>
        <w:t>Repères de lecture</w:t>
      </w:r>
    </w:p>
    <w:p>
      <w:r>
        <w:rPr>
          <w:rFonts w:ascii="Calibri" w:hAnsi="Calibri"/>
        </w:rPr>
        <w:t>Cette édition conserve la chronologie comme colonne vertébrale. Les encadrés signalent un mécanisme, une fausse piste ou un changement d’échelle ; les identifiants entre crochets renvoient au registre de sources du projet.</w:t>
      </w:r>
    </w:p>
    <w:tbl>
      <w:tblPr>
        <w:tblW w:type="dxa" w:w="9360"/>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01  </w:t>
            </w:r>
            <w:r>
              <w:rPr>
                <w:rFonts w:ascii="Calibri" w:hAnsi="Calibri"/>
              </w:rPr>
              <w:t>Jaffna oblige à retourner la carte</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04  </w:t>
            </w:r>
            <w:r>
              <w:rPr>
                <w:rFonts w:ascii="Calibri" w:hAnsi="Calibri"/>
              </w:rPr>
              <w:t>1744–1763 : les guerres européennes changent le système régional</w:t>
            </w:r>
          </w:p>
        </w:tc>
      </w:tr>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02  </w:t>
            </w:r>
            <w:r>
              <w:rPr>
                <w:rFonts w:ascii="Calibri" w:hAnsi="Calibri"/>
              </w:rPr>
              <w:t xml:space="preserve">De la cannelle au </w:t>
            </w:r>
            <w:r>
              <w:rPr>
                <w:rFonts w:ascii="Calibri" w:hAnsi="Calibri"/>
                <w:i/>
              </w:rPr>
              <w:t>paper state</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05  </w:t>
            </w:r>
            <w:r>
              <w:rPr>
                <w:rFonts w:ascii="Calibri" w:hAnsi="Calibri"/>
              </w:rPr>
              <w:t>1793–1815 : Révolution, Napoléon et fermeture du marché des alliances</w:t>
            </w:r>
          </w:p>
        </w:tc>
      </w:tr>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03  </w:t>
            </w:r>
            <w:r>
              <w:rPr>
                <w:rFonts w:ascii="Calibri" w:hAnsi="Calibri"/>
              </w:rPr>
              <w:t>Les intermédiaires : l’empire ne gouverne jamais seul</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06  </w:t>
            </w:r>
            <w:r>
              <w:rPr>
                <w:rFonts w:ascii="Calibri" w:hAnsi="Calibri"/>
              </w:rPr>
              <w:t>Bridge vers 1948 : ce que l’État indépendant hérite vraiment</w:t>
            </w:r>
          </w:p>
        </w:tc>
      </w:tr>
    </w:tbl>
    <w:p>
      <w:r>
        <w:br w:type="page"/>
      </w:r>
    </w:p>
    <w:p>
      <w:pPr>
        <w:pStyle w:val="Heading1"/>
      </w:pPr>
      <w:r>
        <w:rPr>
          <w:rFonts w:ascii="Calibri" w:hAnsi="Calibri"/>
        </w:rPr>
        <w:t>1. Jaffna oblige à retourner la carte</w:t>
      </w:r>
    </w:p>
    <w:p>
      <w:r>
        <w:rPr>
          <w:rFonts w:ascii="Calibri" w:hAnsi="Calibri"/>
        </w:rPr>
        <w:t>Vu depuis Colombo, Jaffna peut sembler une extrémité septentrionale. Vu depuis le détroit de Palk, la péninsule est une interface avec le Tamilakam. Cette inversion de perspective reste valable sous les royaumes tamouls, les Portugais, la VOC et les Britanniques : le nord-ouest est relié à Mannar, Rāmeśvaram et aux circuits de l’Inde du Sud autant qu’au reste de l’île.</w:t>
      </w:r>
    </w:p>
    <w:p>
      <w:r>
        <w:rPr>
          <w:rFonts w:ascii="Calibri" w:hAnsi="Calibri"/>
        </w:rPr>
        <w:t xml:space="preserve">Le fort de Jaffna matérialise alors moins un monument isolé qu’un changement de technologie politique. Le royaume de Kandy cherche au XVIIe siècle un contrepoids maritime au Portugal ; l’alliance avec la VOC permet de faire tomber successivement plusieurs positions portugaises. Mais la coalition contient une contradiction : Kandy veut récupérer ses façades maritimes, tandis que la Compagnie veut convertir les ports conquis en réseau rentable et défendable. L’allié devient donc un </w:t>
      </w:r>
      <w:r>
        <w:rPr>
          <w:rFonts w:ascii="Calibri" w:hAnsi="Calibri"/>
          <w:b/>
        </w:rPr>
        <w:t>souverain côtier concurrent</w:t>
      </w:r>
      <w:r>
        <w:rPr>
          <w:rFonts w:ascii="Calibri" w:hAnsi="Calibri"/>
        </w:rPr>
        <w:t>.</w:t>
      </w:r>
    </w:p>
    <w:p>
      <w:pPr>
        <w:pStyle w:val="Heading2"/>
      </w:pPr>
      <w:r>
        <w:rPr>
          <w:rFonts w:ascii="Calibri" w:hAnsi="Calibri"/>
        </w:rPr>
        <w:t>Le fort comme réseau d’exploitation</w:t>
      </w:r>
    </w:p>
    <w:p>
      <w:r>
        <w:rPr>
          <w:rFonts w:ascii="Calibri" w:hAnsi="Calibri"/>
        </w:rPr>
        <w:t>La carte de 1751 montrant vingt-deux forts dit davantage que chaque bastion pris séparément. Le réseau diminue le coût de surveillance des ports, protège les circuits de collecte, déplace rapidement soldats et agents, dissuade les rivaux européens et offre des bases pour intervenir contre les résistances locales. Il ne rend pas la VOC omnipotente : Kandy reste capable de soutenir des révoltes et de mener la guerre. Mais il crée une asymétrie logistique durable.</w:t>
      </w:r>
    </w:p>
    <w:p>
      <w:r>
        <w:rPr>
          <w:rFonts w:ascii="Calibri" w:hAnsi="Calibri"/>
          <w:b/>
        </w:rPr>
        <w:t>Petit détour — Mannar.</w:t>
      </w:r>
      <w:r>
        <w:rPr>
          <w:rFonts w:ascii="Calibri" w:hAnsi="Calibri"/>
        </w:rPr>
        <w:t xml:space="preserve"> Les panneaux du terrain relient pêcheries de perles, route des éléphants, racines de choya destinées à la teinture de textiles indiens et travail servile. Cette juxtaposition n’est pas anecdotique : elle montre un nord-ouest inséré dans une économie transdétroit, là où une histoire écrite depuis Colombo tend à voir une périphérie.</w:t>
      </w:r>
    </w:p>
    <w:p>
      <w:pPr>
        <w:pStyle w:val="Heading1"/>
      </w:pPr>
      <w:r>
        <w:rPr>
          <w:rFonts w:ascii="Calibri" w:hAnsi="Calibri"/>
        </w:rPr>
        <w:t xml:space="preserve">2. De la cannelle au </w:t>
      </w:r>
      <w:r>
        <w:rPr>
          <w:rFonts w:ascii="Calibri" w:hAnsi="Calibri"/>
          <w:i/>
        </w:rPr>
        <w:t>paper state</w:t>
      </w:r>
    </w:p>
    <w:p>
      <w:r>
        <w:rPr>
          <w:rFonts w:ascii="Calibri" w:hAnsi="Calibri"/>
        </w:rPr>
        <w:t xml:space="preserve">La cannelle est une motivation structurante de la VOC, mais elle ne suffit pas à expliquer l’évolution de l’État côtier. À mesure que l’administration doit fiscaliser terres, personnes, services et échanges, elle hérite de hiérarchies locales, utilise des obligations de travail, tient des tribunaux et développe des registres de personnes et de propriétés. Les </w:t>
      </w:r>
      <w:r>
        <w:rPr>
          <w:rFonts w:ascii="Calibri" w:hAnsi="Calibri"/>
          <w:i/>
        </w:rPr>
        <w:t>thombos</w:t>
      </w:r>
      <w:r>
        <w:rPr>
          <w:rFonts w:ascii="Calibri" w:hAnsi="Calibri"/>
        </w:rPr>
        <w:t xml:space="preserve"> rendent des relations auparavant négociées et dispersées plus </w:t>
      </w:r>
      <w:r>
        <w:rPr>
          <w:rFonts w:ascii="Calibri" w:hAnsi="Calibri"/>
          <w:b/>
        </w:rPr>
        <w:t>lisibles</w:t>
      </w:r>
      <w:r>
        <w:rPr>
          <w:rFonts w:ascii="Calibri" w:hAnsi="Calibri"/>
        </w:rPr>
        <w:t xml:space="preserve"> pour l’État [CAMBRIDGE-CLASSIFICATION ; CAMBRIDGE-LAWMAKING].</w:t>
      </w:r>
    </w:p>
    <w:p>
      <w:r>
        <w:rPr>
          <w:rFonts w:ascii="Calibri" w:hAnsi="Calibri"/>
        </w:rPr>
        <w:t>Cette lisibilité est le bridge majeur vers la période britannique. Les Britanniques ne prennent pas en 1796 une côte administrativement vierge : ils récupèrent des forts, des agents, des catégories, des registres et des pratiques fiscales qui pourront être simplifiés, étendus ou réorganisés au XIXe siècle.</w:t>
      </w:r>
    </w:p>
    <w:p>
      <w:pPr>
        <w:pStyle w:val="Heading2"/>
      </w:pPr>
      <w:r>
        <w:rPr>
          <w:rFonts w:ascii="Calibri" w:hAnsi="Calibri"/>
        </w:rPr>
        <w:t>Petit détour structurant — quand le papier rencontre la caste</w:t>
      </w:r>
    </w:p>
    <w:p>
      <w:r>
        <w:rPr>
          <w:rFonts w:ascii="Calibri" w:hAnsi="Calibri"/>
        </w:rPr>
        <w:t xml:space="preserve">La VOC ne crée pas une société de caste à Jaffna. Les hiérarchies, les statuts de service et les dépendances précèdent la conquête européenne. En revanche, gouverner par registre oblige l’administration à décider </w:t>
      </w:r>
      <w:r>
        <w:rPr>
          <w:rFonts w:ascii="Calibri" w:hAnsi="Calibri"/>
          <w:b/>
        </w:rPr>
        <w:t>qui est qui</w:t>
      </w:r>
      <w:r>
        <w:rPr>
          <w:rFonts w:ascii="Calibri" w:hAnsi="Calibri"/>
        </w:rPr>
        <w:t>, qui doit quoi, qui possède quoi et quels intermédiaires peuvent parler au nom d’un groupe.</w:t>
      </w:r>
    </w:p>
    <w:p>
      <w:r>
        <w:rPr>
          <w:rFonts w:ascii="Calibri" w:hAnsi="Calibri"/>
        </w:rPr>
        <w:t>Les recherches sur la bureaucratie hollandaise et sur l’esclavage à Jaffna montrent ainsi que l’enregistrement et la codification peuvent consolider certaines positions dominantes — notamment celles de groupes Vellalar — vis-à-vis de populations subordonnées [CAMBRIDGE-CLASSIFICATION ; CAMBRIDGE-JAFFNA-SLAVERY]. Le mécanisme n’est donc pas « les Européens inventent la caste », mais :</w:t>
      </w:r>
    </w:p>
    <w:p>
      <w:pPr>
        <w:pStyle w:val="CausalCallout"/>
        <w:shd w:fill="F4F6F9"/>
        <w:pBdr>
          <w:left w:val="single" w:sz="18" w:color="2E74B5" w:space="8"/>
        </w:pBdr>
      </w:pPr>
      <w:r>
        <w:rPr>
          <w:rFonts w:ascii="Calibri" w:hAnsi="Calibri"/>
        </w:rPr>
        <w:t>hiérarchie locale → besoin colonial de travail et de revenu → classification documentaire → droits et obligations plus stables → capacité accrue de certains intermédiaires à transformer leur position sociale en position administrative.</w:t>
      </w:r>
    </w:p>
    <w:p>
      <w:r>
        <w:rPr>
          <w:rFonts w:ascii="Calibri" w:hAnsi="Calibri"/>
        </w:rPr>
        <w:t xml:space="preserve">Cette stabilisation n’est pourtant pas unilatérale. Les habitants utilisent également actes, tribunaux et registres dans les litiges de terre, dette, héritage, dot et service. Le </w:t>
      </w:r>
      <w:r>
        <w:rPr>
          <w:rFonts w:ascii="Calibri" w:hAnsi="Calibri"/>
          <w:i/>
        </w:rPr>
        <w:t>paper state</w:t>
      </w:r>
      <w:r>
        <w:rPr>
          <w:rFonts w:ascii="Calibri" w:hAnsi="Calibri"/>
        </w:rPr>
        <w:t xml:space="preserve"> est à la fois technologie de coercition et espace de négociation.</w:t>
      </w:r>
    </w:p>
    <w:p>
      <w:pPr>
        <w:pStyle w:val="Heading2"/>
      </w:pPr>
      <w:r>
        <w:rPr>
          <w:rFonts w:ascii="Calibri" w:hAnsi="Calibri"/>
        </w:rPr>
        <w:t>Travail libre, dépendance, esclavage : ne pas forcer les catégories</w:t>
      </w:r>
    </w:p>
    <w:p>
      <w:r>
        <w:rPr>
          <w:rFonts w:ascii="Calibri" w:hAnsi="Calibri"/>
        </w:rPr>
        <w:t xml:space="preserve">Les archives font apparaître des personnes juridiquement possédées, des manumissions et des circulations forcées à l’échelle de l’océan Indien. Mais l’esclavage coexiste avec dette, dépendances de caste et </w:t>
      </w:r>
      <w:r>
        <w:rPr>
          <w:rFonts w:ascii="Calibri" w:hAnsi="Calibri"/>
          <w:i/>
        </w:rPr>
        <w:t>rajakariya</w:t>
      </w:r>
      <w:r>
        <w:rPr>
          <w:rFonts w:ascii="Calibri" w:hAnsi="Calibri"/>
        </w:rPr>
        <w:t>. Tout travail obligatoire n’est pas esclavage ; l’abolition juridique de l’esclavage ne dissout pas toutes les relations de dépendance.</w:t>
      </w:r>
    </w:p>
    <w:p>
      <w:r>
        <w:rPr>
          <w:rFonts w:ascii="Calibri" w:hAnsi="Calibri"/>
        </w:rPr>
        <w:t xml:space="preserve">Sous les Britanniques, les mesures d’émancipation du XIXe siècle modifient le statut juridique des personnes asservies sans faire disparaître immédiatement caste, inégalités de travail ni autorité sociale [CAMBRIDGE-JAFFNA-SLAVERY]. Le XIXe siècle peut donc produire simultanément </w:t>
      </w:r>
      <w:r>
        <w:rPr>
          <w:rFonts w:ascii="Calibri" w:hAnsi="Calibri"/>
          <w:b/>
        </w:rPr>
        <w:t>émancipation formelle, continuité hiérarchique et explosion de l’éducation missionnaire</w:t>
      </w:r>
      <w:r>
        <w:rPr>
          <w:rFonts w:ascii="Calibri" w:hAnsi="Calibri"/>
        </w:rPr>
        <w:t>.</w:t>
      </w:r>
    </w:p>
    <w:p>
      <w:pPr>
        <w:pStyle w:val="Heading1"/>
      </w:pPr>
      <w:r>
        <w:rPr>
          <w:rFonts w:ascii="Calibri" w:hAnsi="Calibri"/>
        </w:rPr>
        <w:t>3. Les intermédiaires : l’empire ne gouverne jamais seul</w:t>
      </w:r>
    </w:p>
    <w:p>
      <w:r>
        <w:rPr>
          <w:rFonts w:ascii="Calibri" w:hAnsi="Calibri"/>
        </w:rPr>
        <w:t>La microhistoire de Willem de Melho et d’autres courtiers tamoulophones empêche une représentation binaire « Européens actifs / colonisés passifs ». Traduction, religion, commerce, justice et fiscalité dépendent d’intermédiaires dont les intérêts ne coïncident jamais parfaitement ni avec ceux de la Compagnie ni avec ceux d’une communauté locale supposée homogène.</w:t>
      </w:r>
    </w:p>
    <w:p>
      <w:r>
        <w:rPr>
          <w:rFonts w:ascii="Calibri" w:hAnsi="Calibri"/>
        </w:rPr>
        <w:t xml:space="preserve">Quand les missions protestantes investissent ensuite l’éducation à Jaffna, elles entrent dans un paysage déjà structuré par caste, propriété, temples, réseaux familiaux et expériences de l’administration coloniale. La question pertinente devient : </w:t>
      </w:r>
      <w:r>
        <w:rPr>
          <w:rFonts w:ascii="Calibri" w:hAnsi="Calibri"/>
          <w:b/>
        </w:rPr>
        <w:t>quels groupes parviennent à convertir école et anglais en mobilité, et comment cet avantage est-il reproduit ou contesté ?</w:t>
      </w:r>
    </w:p>
    <w:p>
      <w:pPr>
        <w:pStyle w:val="Heading1"/>
      </w:pPr>
      <w:r>
        <w:rPr>
          <w:rFonts w:ascii="Calibri" w:hAnsi="Calibri"/>
        </w:rPr>
        <w:t>4. 1744–1763 : les guerres européennes changent le système régional</w:t>
      </w:r>
    </w:p>
    <w:p>
      <w:r>
        <w:rPr>
          <w:rFonts w:ascii="Calibri" w:hAnsi="Calibri"/>
        </w:rPr>
        <w:t xml:space="preserve">La guerre de Succession d’Autriche ouvre en Inde à partir de 1744 une confrontation anglo-française qui se prolonge dans la guerre de Sept Ans. Cambridge traite donc plutôt une séquence </w:t>
      </w:r>
      <w:r>
        <w:rPr>
          <w:rFonts w:ascii="Calibri" w:hAnsi="Calibri"/>
          <w:b/>
        </w:rPr>
        <w:t>1744–1761/1763</w:t>
      </w:r>
      <w:r>
        <w:rPr>
          <w:rFonts w:ascii="Calibri" w:hAnsi="Calibri"/>
        </w:rPr>
        <w:t xml:space="preserve"> [CAMBRIDGE-AUSTRIAN-WAR-INDIA ; CAMBRIDGE-SEVEN-YEARS-CARNATIC].</w:t>
      </w:r>
    </w:p>
    <w:p>
      <w:r>
        <w:rPr>
          <w:rFonts w:ascii="Calibri" w:hAnsi="Calibri"/>
        </w:rPr>
        <w:t>Vers 1740, l’environnement reste multipolaire : VOC à Ceylan et dans l’archipel, France à Pondichéry et Maurice, Britanniques à Madras, Bombay et Calcutta, puissances indiennes capables d’arbitrer les alliances. Le Portugal est déjà très affaibli ; sa contraction ne doit pas être attribuée à la guerre de Sept Ans [CAMBRIDGE-PORTUGUESE-LATE ; CAMBRIDGE-PORTUGUESE-DECLINE].</w:t>
      </w:r>
    </w:p>
    <w:p>
      <w:r>
        <w:rPr>
          <w:rFonts w:ascii="Calibri" w:hAnsi="Calibri"/>
        </w:rPr>
        <w:t xml:space="preserve">Le tournant anglo-français tient autant au financement qu’aux batailles. Les gains territoriaux de l’East India Company donnent accès à des recettes indiennes capables de financer des armées locales toujours plus importantes. Après la chute de Pondichéry en 1761 et le traité de Paris, les comptoirs français subsistent mais la </w:t>
      </w:r>
      <w:r>
        <w:rPr>
          <w:rFonts w:ascii="Calibri" w:hAnsi="Calibri"/>
          <w:b/>
        </w:rPr>
        <w:t>parité politico-militaire</w:t>
      </w:r>
      <w:r>
        <w:rPr>
          <w:rFonts w:ascii="Calibri" w:hAnsi="Calibri"/>
        </w:rPr>
        <w:t xml:space="preserve"> disparaît [CAMBRIDGE-FRENCH-1754-1815].</w:t>
      </w:r>
    </w:p>
    <w:p>
      <w:r>
        <w:rPr>
          <w:rFonts w:ascii="Calibri" w:hAnsi="Calibri"/>
        </w:rPr>
        <w:t>Pour Ceylan, l’effet est indirect mais structurant : Kandy et la VOC restent les acteurs locaux immédiats, mais le marché des contrepoids européens se rétrécit.</w:t>
      </w:r>
    </w:p>
    <w:p>
      <w:pPr>
        <w:pStyle w:val="Heading1"/>
      </w:pPr>
      <w:r>
        <w:rPr>
          <w:rFonts w:ascii="Calibri" w:hAnsi="Calibri"/>
        </w:rPr>
        <w:t>5. 1793–1815 : Révolution, Napoléon et fermeture du marché des alliances</w:t>
      </w:r>
    </w:p>
    <w:p>
      <w:r>
        <w:rPr>
          <w:rFonts w:ascii="Calibri" w:hAnsi="Calibri"/>
        </w:rPr>
        <w:t>Le retrait hollandais de Ceylan précède 1815. Quand les Provinces-Unies deviennent la République batave alliée à la France, les Britanniques prennent Cochin en 1795 puis Ceylan en 1796 ; la VOC disparaît en 1799 et Amiens confirme Ceylan britannique en 1802 [CAMBRIDGE-COMPANY-FORTRESS-END].</w:t>
      </w:r>
    </w:p>
    <w:p>
      <w:r>
        <w:rPr>
          <w:rFonts w:ascii="Calibri" w:hAnsi="Calibri"/>
        </w:rPr>
        <w:t>Cette transition transfère plus qu’un territoire : forts, savoirs fiscaux, catégories administratives et intermédiaires passent dans une nouvelle architecture impériale [CAMBRIDGE-ANGLODUTCH-MERIDIAN].</w:t>
      </w:r>
    </w:p>
    <w:p>
      <w:r>
        <w:rPr>
          <w:rFonts w:ascii="Calibri" w:hAnsi="Calibri"/>
        </w:rPr>
        <w:t>La menace française reste crédible tant que Maurice sert de base navale et corsaire. Elle se ferme progressivement avec l’occupation de Pondichéry, la prise de Maurice en 1810 puis de Java en 1811 [CAMBRIDGE-BRITISH-NAVY-1794 ; CAMBRIDGE-DESTROYING-RIVALS].</w:t>
      </w:r>
    </w:p>
    <w:p>
      <w:pPr>
        <w:pStyle w:val="Heading2"/>
      </w:pPr>
      <w:r>
        <w:rPr>
          <w:rFonts w:ascii="Calibri" w:hAnsi="Calibri"/>
        </w:rPr>
        <w:t>1815 : Kandy tombe dans une fenêtre mondiale particulière</w:t>
      </w:r>
    </w:p>
    <w:p>
      <w:r>
        <w:rPr>
          <w:rFonts w:ascii="Calibri" w:hAnsi="Calibri"/>
        </w:rPr>
        <w:t>Waterloo ne « cause » pas la conquête de Kandy. Les mécanismes immédiats sont kandyan : conflit entre Sri Vikrama Rajasinha et des élites du royaume, capacité britannique à former une coalition locale, expérience tirée de l’échec militaire de 1803 et volonté de supprimer une frontière intérieure coûteuse.</w:t>
      </w:r>
    </w:p>
    <w:p>
      <w:r>
        <w:rPr>
          <w:rFonts w:ascii="Calibri" w:hAnsi="Calibri"/>
        </w:rPr>
        <w:t>Mais ces mécanismes opèrent désormais dans un environnement où presque aucun contrepoids européen crédible ne subsiste :</w:t>
      </w:r>
    </w:p>
    <w:p>
      <w:pPr>
        <w:pStyle w:val="CausalCallout"/>
        <w:shd w:fill="F4F6F9"/>
        <w:pBdr>
          <w:left w:val="single" w:sz="18" w:color="2E74B5" w:space="8"/>
        </w:pBdr>
      </w:pPr>
      <w:r>
        <w:rPr>
          <w:rFonts w:ascii="Calibri" w:hAnsi="Calibri"/>
          <w:b/>
        </w:rPr>
        <w:t>crise interne de Kandy × asymétrie impériale régionale sans précédent = fenêtre de conquête exceptionnellement favorable.</w:t>
      </w:r>
    </w:p>
    <w:p>
      <w:r>
        <w:rPr>
          <w:rFonts w:ascii="Calibri" w:hAnsi="Calibri"/>
        </w:rPr>
        <w:t>Après 1815–1816, les comptoirs français reviennent comme établissements limités et les Pays-Bas se recentrent sur l’Insulinde. Le traité anglo-hollandais de 1824 clarifie encore la séparation des sphères. L’océan Indien n’est pas littéralement un lac britannique, mais les souverains de Lanka ont perdu une grande partie des options de balancier des siècles précédents.</w:t>
      </w:r>
    </w:p>
    <w:p>
      <w:pPr>
        <w:pStyle w:val="Heading1"/>
      </w:pPr>
      <w:r>
        <w:rPr>
          <w:rFonts w:ascii="Calibri" w:hAnsi="Calibri"/>
        </w:rPr>
        <w:t>6. Bridge vers 1948 : ce que l’État indépendant hérite vraiment</w:t>
      </w:r>
    </w:p>
    <w:p>
      <w:r>
        <w:rPr>
          <w:rFonts w:ascii="Calibri" w:hAnsi="Calibri"/>
        </w:rPr>
        <w:t>La longue durée coloniale lègue au moins quatre couches :</w:t>
      </w:r>
    </w:p>
    <w:p>
      <w:pPr>
        <w:pStyle w:val="ListNumber"/>
      </w:pPr>
      <w:r>
        <w:rPr>
          <w:rFonts w:ascii="Calibri" w:hAnsi="Calibri"/>
          <w:b/>
        </w:rPr>
        <w:t>un territoire</w:t>
      </w:r>
      <w:r>
        <w:rPr>
          <w:rFonts w:ascii="Calibri" w:hAnsi="Calibri"/>
        </w:rPr>
        <w:t xml:space="preserve"> progressivement unifié par le pouvoir britannique ;</w:t>
      </w:r>
    </w:p>
    <w:p>
      <w:pPr>
        <w:pStyle w:val="ListNumber"/>
      </w:pPr>
      <w:r>
        <w:rPr>
          <w:rFonts w:ascii="Calibri" w:hAnsi="Calibri"/>
          <w:b/>
        </w:rPr>
        <w:t>un appareil de lisibilité</w:t>
      </w:r>
      <w:r>
        <w:rPr>
          <w:rFonts w:ascii="Calibri" w:hAnsi="Calibri"/>
        </w:rPr>
        <w:t xml:space="preserve"> — registres, fiscalité, catégories juridiques et administration ;</w:t>
      </w:r>
    </w:p>
    <w:p>
      <w:pPr>
        <w:pStyle w:val="ListNumber"/>
      </w:pPr>
      <w:r>
        <w:rPr>
          <w:rFonts w:ascii="Calibri" w:hAnsi="Calibri"/>
          <w:b/>
        </w:rPr>
        <w:t>des hiérarchies sociales retravaillées</w:t>
      </w:r>
      <w:r>
        <w:rPr>
          <w:rFonts w:ascii="Calibri" w:hAnsi="Calibri"/>
        </w:rPr>
        <w:t>, mais jamais créées de toutes pièces par le colonisateur ;</w:t>
      </w:r>
    </w:p>
    <w:p>
      <w:pPr>
        <w:pStyle w:val="ListNumber"/>
      </w:pPr>
      <w:r>
        <w:rPr>
          <w:rFonts w:ascii="Calibri" w:hAnsi="Calibri"/>
          <w:b/>
        </w:rPr>
        <w:t>des canaux de mobilité nouveaux</w:t>
      </w:r>
      <w:r>
        <w:rPr>
          <w:rFonts w:ascii="Calibri" w:hAnsi="Calibri"/>
        </w:rPr>
        <w:t>, surtout l’éducation et l’anglais, dont les bénéfices sont très inégalement distribués.</w:t>
      </w:r>
    </w:p>
    <w:p>
      <w:r>
        <w:rPr>
          <w:rFonts w:ascii="Calibri" w:hAnsi="Calibri"/>
        </w:rPr>
        <w:t xml:space="preserve">Cette quatrième couche raccorde directement l’histoire sociale de Jaffna à la fresque post-1948. Le problème futur ne sera pas seulement « Sinhala contre Tamil ». Il sera aussi : </w:t>
      </w:r>
      <w:r>
        <w:rPr>
          <w:rFonts w:ascii="Calibri" w:hAnsi="Calibri"/>
          <w:b/>
        </w:rPr>
        <w:t>que fait un État postcolonial lorsqu’une minorité régionale a converti avec une grande efficacité certaines institutions coloniales — école, anglais, concours et professions — en capital social ?</w:t>
      </w:r>
    </w:p>
    <w:p>
      <w:r>
        <w:rPr>
          <w:rFonts w:ascii="Calibri" w:hAnsi="Calibri"/>
        </w:rPr>
        <w:t>La réponse de 1956 et des années 1970 redistribuera cet accès, tandis que la caste, loin de disparaître, changera de visibilité et de fonction. Ce bridge constitue désormais l’entrée sociale canonique de la seconde fresque.</w:t>
      </w:r>
    </w:p>
    <w:p>
      <w:r>
        <w:br w:type="page"/>
      </w:r>
    </w:p>
    <w:p>
      <w:pPr>
        <w:pStyle w:val="Heading1"/>
      </w:pPr>
      <w:r>
        <w:t>Sources citées dans cette édition</w:t>
      </w:r>
    </w:p>
    <w:p>
      <w:r>
        <w:rPr>
          <w:rFonts w:ascii="Calibri" w:hAnsi="Calibri"/>
        </w:rPr>
        <w:t>Les tiers décrivent le mode de production de la connaissance ; le rôle décrit l’usage dans cette enquête. Les limites sont conservées pour empêcher qu’une source soit étendue au-delà de son champ.</w:t>
      </w:r>
    </w:p>
    <w:p>
      <w:pPr>
        <w:keepNext/>
        <w:keepLines/>
      </w:pPr>
      <w:r>
        <w:rPr>
          <w:rFonts w:ascii="Calibri" w:hAnsi="Calibri"/>
          <w:b/>
          <w:color w:val="203748"/>
        </w:rPr>
        <w:t>CAMBRIDGE-ANGLODUTCH-MERIDIAN — The Anglo-Dutch Imperial Meridian in the Indian Ocean World, 1795–1820</w:t>
      </w:r>
    </w:p>
    <w:p>
      <w:pPr>
        <w:spacing w:after="80"/>
        <w:ind w:left="288"/>
      </w:pPr>
      <w:r>
        <w:rPr>
          <w:rFonts w:ascii="Calibri" w:hAnsi="Calibri"/>
        </w:rPr>
        <w:t xml:space="preserve">T1 · canonical anchor. British capture of Dutch Indian Ocean colonies and transfer of administrative knowledge. Limite : doctoral thesis; broad Indian Ocean comparison. </w:t>
      </w:r>
      <w:hyperlink r:id="rId11">
        <w:r>
          <w:rPr>
            <w:color w:val="2E74B5"/>
            <w:u w:val="single"/>
          </w:rPr>
          <w:t>Lien source</w:t>
        </w:r>
      </w:hyperlink>
    </w:p>
    <w:p>
      <w:pPr>
        <w:keepNext/>
        <w:keepLines/>
      </w:pPr>
      <w:r>
        <w:rPr>
          <w:rFonts w:ascii="Calibri" w:hAnsi="Calibri"/>
          <w:b/>
          <w:color w:val="203748"/>
        </w:rPr>
        <w:t>CAMBRIDGE-AUSTRIAN-WAR-INDIA — The Indian Dimension in the War of the Austrian Succession, 1744–48</w:t>
      </w:r>
    </w:p>
    <w:p>
      <w:pPr>
        <w:spacing w:after="80"/>
        <w:ind w:left="288"/>
      </w:pPr>
      <w:r>
        <w:rPr>
          <w:rFonts w:ascii="Calibri" w:hAnsi="Calibri"/>
        </w:rPr>
        <w:t xml:space="preserve">T1 · canonical anchor. opening phase of the long Anglo-French struggle for political influence in India. Limite : India-centred; effects on Ceylon are an indirect regional bridge. </w:t>
      </w:r>
      <w:hyperlink r:id="rId12">
        <w:r>
          <w:rPr>
            <w:color w:val="2E74B5"/>
            <w:u w:val="single"/>
          </w:rPr>
          <w:t>Lien source</w:t>
        </w:r>
      </w:hyperlink>
    </w:p>
    <w:p>
      <w:pPr>
        <w:keepNext/>
        <w:keepLines/>
      </w:pPr>
      <w:r>
        <w:rPr>
          <w:rFonts w:ascii="Calibri" w:hAnsi="Calibri"/>
          <w:b/>
          <w:color w:val="203748"/>
        </w:rPr>
        <w:t>CAMBRIDGE-BRITISH-NAVY-1794 — British Naval Power in the East, 1794–1805 — Introduction</w:t>
      </w:r>
    </w:p>
    <w:p>
      <w:pPr>
        <w:spacing w:after="80"/>
        <w:ind w:left="288"/>
      </w:pPr>
      <w:r>
        <w:rPr>
          <w:rFonts w:ascii="Calibri" w:hAnsi="Calibri"/>
        </w:rPr>
        <w:t xml:space="preserve">T1 · canonical anchor. British naval supremacy after Seven Years War and strategic build-up in eastern waters. Limite : naval strategic lens. </w:t>
      </w:r>
      <w:hyperlink r:id="rId13">
        <w:r>
          <w:rPr>
            <w:color w:val="2E74B5"/>
            <w:u w:val="single"/>
          </w:rPr>
          <w:t>Lien source</w:t>
        </w:r>
      </w:hyperlink>
    </w:p>
    <w:p>
      <w:pPr>
        <w:keepNext/>
        <w:keepLines/>
      </w:pPr>
      <w:r>
        <w:rPr>
          <w:rFonts w:ascii="Calibri" w:hAnsi="Calibri"/>
          <w:b/>
          <w:color w:val="203748"/>
        </w:rPr>
        <w:t>CAMBRIDGE-CLASSIFICATION — Classifications at Work: Social Categories and Dutch Bureaucracy in Colonial Sri Lanka</w:t>
      </w:r>
    </w:p>
    <w:p>
      <w:pPr>
        <w:spacing w:after="80"/>
        <w:ind w:left="288"/>
      </w:pPr>
      <w:r>
        <w:rPr>
          <w:rFonts w:ascii="Calibri" w:hAnsi="Calibri"/>
        </w:rPr>
        <w:t xml:space="preserve">T1 · canonical anchor. VOC bureaucracy, categories, thombos, taxation and local hierarchy. Limite : focuses especially on the eighteenth-century coastal bureaucracy; do not generalize uniformly across all periods/provinces. </w:t>
      </w:r>
      <w:hyperlink r:id="rId14">
        <w:r>
          <w:rPr>
            <w:color w:val="2E74B5"/>
            <w:u w:val="single"/>
          </w:rPr>
          <w:t>Lien source</w:t>
        </w:r>
      </w:hyperlink>
    </w:p>
    <w:p>
      <w:pPr>
        <w:keepNext/>
        <w:keepLines/>
      </w:pPr>
      <w:r>
        <w:rPr>
          <w:rFonts w:ascii="Calibri" w:hAnsi="Calibri"/>
          <w:b/>
          <w:color w:val="203748"/>
        </w:rPr>
        <w:t>CAMBRIDGE-COMPANY-FORTRESS-END — The Company Fortress — Conclusion</w:t>
      </w:r>
    </w:p>
    <w:p>
      <w:pPr>
        <w:spacing w:after="80"/>
        <w:ind w:left="288"/>
      </w:pPr>
      <w:r>
        <w:rPr>
          <w:rFonts w:ascii="Calibri" w:hAnsi="Calibri"/>
        </w:rPr>
        <w:t xml:space="preserve">T1 · canonical anchor. 1795 Cochin, 1796 Ceylon, Amiens and end of Dutch military presence in South Asia. Limite : fort/company focus; pair with wider Napoleonic Indian Ocean work. </w:t>
      </w:r>
      <w:hyperlink r:id="rId15">
        <w:r>
          <w:rPr>
            <w:color w:val="2E74B5"/>
            <w:u w:val="single"/>
          </w:rPr>
          <w:t>Lien source</w:t>
        </w:r>
      </w:hyperlink>
    </w:p>
    <w:p>
      <w:pPr>
        <w:keepNext/>
        <w:keepLines/>
      </w:pPr>
      <w:r>
        <w:rPr>
          <w:rFonts w:ascii="Calibri" w:hAnsi="Calibri"/>
          <w:b/>
          <w:color w:val="203748"/>
        </w:rPr>
        <w:t>CAMBRIDGE-DESTROYING-RIVALS — Destroying all Rivals, 1803–1811</w:t>
      </w:r>
    </w:p>
    <w:p>
      <w:pPr>
        <w:spacing w:after="80"/>
        <w:ind w:left="288"/>
      </w:pPr>
      <w:r>
        <w:rPr>
          <w:rFonts w:ascii="Calibri" w:hAnsi="Calibri"/>
        </w:rPr>
        <w:t xml:space="preserve">T1 · canonical anchor. capture of key Indian Ocean positions, French threat and British strategic system before 1815. Limite : maritime military lens; does not explain Kandyan internal politics. </w:t>
      </w:r>
      <w:hyperlink r:id="rId16">
        <w:r>
          <w:rPr>
            <w:color w:val="2E74B5"/>
            <w:u w:val="single"/>
          </w:rPr>
          <w:t>Lien source</w:t>
        </w:r>
      </w:hyperlink>
    </w:p>
    <w:p>
      <w:pPr>
        <w:keepNext/>
        <w:keepLines/>
      </w:pPr>
      <w:r>
        <w:rPr>
          <w:rFonts w:ascii="Calibri" w:hAnsi="Calibri"/>
          <w:b/>
          <w:color w:val="203748"/>
        </w:rPr>
        <w:t>CAMBRIDGE-FRENCH-1754-1815 — The French Presence in India between 1754 and 1815</w:t>
      </w:r>
    </w:p>
    <w:p>
      <w:pPr>
        <w:spacing w:after="80"/>
        <w:ind w:left="288"/>
      </w:pPr>
      <w:r>
        <w:rPr>
          <w:rFonts w:ascii="Calibri" w:hAnsi="Calibri"/>
        </w:rPr>
        <w:t xml:space="preserve">T1 · canonical anchor. French territorial contraction after 1761/1763 and continued commercial presence to 1815. Limite : French-India lens; distinguish comptoir survival from strategic parity. </w:t>
      </w:r>
      <w:hyperlink r:id="rId17">
        <w:r>
          <w:rPr>
            <w:color w:val="2E74B5"/>
            <w:u w:val="single"/>
          </w:rPr>
          <w:t>Lien source</w:t>
        </w:r>
      </w:hyperlink>
    </w:p>
    <w:p>
      <w:pPr>
        <w:keepNext/>
        <w:keepLines/>
      </w:pPr>
      <w:r>
        <w:rPr>
          <w:rFonts w:ascii="Calibri" w:hAnsi="Calibri"/>
          <w:b/>
          <w:color w:val="203748"/>
        </w:rPr>
        <w:t>CAMBRIDGE-JAFFNA-SLAVERY — The Ambivalence of Freedom: Slaves in Jaffna, Sri Lanka, in the Eighteenth and Nineteenth Centuries</w:t>
      </w:r>
    </w:p>
    <w:p>
      <w:pPr>
        <w:spacing w:after="80"/>
        <w:ind w:left="288"/>
      </w:pPr>
      <w:r>
        <w:rPr>
          <w:rFonts w:ascii="Calibri" w:hAnsi="Calibri"/>
        </w:rPr>
        <w:t xml:space="preserve">T1 · canonical anchor. Dutch/British slavery, caste and codification in Jaffna. Limite : Jaffna-specific; does not describe all labour regimes on the island. </w:t>
      </w:r>
      <w:hyperlink r:id="rId18">
        <w:r>
          <w:rPr>
            <w:color w:val="2E74B5"/>
            <w:u w:val="single"/>
          </w:rPr>
          <w:t>Lien source</w:t>
        </w:r>
      </w:hyperlink>
    </w:p>
    <w:p>
      <w:pPr>
        <w:keepNext/>
        <w:keepLines/>
      </w:pPr>
      <w:r>
        <w:rPr>
          <w:rFonts w:ascii="Calibri" w:hAnsi="Calibri"/>
          <w:b/>
          <w:color w:val="203748"/>
        </w:rPr>
        <w:t>CAMBRIDGE-LAWMAKING — Lawmaking in Dutch Sri Lanka</w:t>
      </w:r>
    </w:p>
    <w:p>
      <w:pPr>
        <w:spacing w:after="80"/>
        <w:ind w:left="288"/>
      </w:pPr>
      <w:r>
        <w:rPr>
          <w:rFonts w:ascii="Calibri" w:hAnsi="Calibri"/>
        </w:rPr>
        <w:t xml:space="preserve">T1 · canonical anchor. VOC law, territorial government, land rights and Kandy relations. Limite : legal-administrative lens. </w:t>
      </w:r>
      <w:hyperlink r:id="rId19">
        <w:r>
          <w:rPr>
            <w:color w:val="2E74B5"/>
            <w:u w:val="single"/>
          </w:rPr>
          <w:t>Lien source</w:t>
        </w:r>
      </w:hyperlink>
    </w:p>
    <w:p>
      <w:pPr>
        <w:keepNext/>
        <w:keepLines/>
      </w:pPr>
      <w:r>
        <w:rPr>
          <w:rFonts w:ascii="Calibri" w:hAnsi="Calibri"/>
          <w:b/>
          <w:color w:val="203748"/>
        </w:rPr>
        <w:t>CAMBRIDGE-PORTUGUESE-DECLINE — Decline and stagnation — The Portuguese in India</w:t>
      </w:r>
    </w:p>
    <w:p>
      <w:pPr>
        <w:spacing w:after="80"/>
        <w:ind w:left="288"/>
      </w:pPr>
      <w:r>
        <w:rPr>
          <w:rFonts w:ascii="Calibri" w:hAnsi="Calibri"/>
        </w:rPr>
        <w:t xml:space="preserve">T1 · corroborating anchor. historiography and chronology of Portuguese decline. Limite : older synthesis; useful especially to reject teleological British accounts. </w:t>
      </w:r>
      <w:hyperlink r:id="rId20">
        <w:r>
          <w:rPr>
            <w:color w:val="2E74B5"/>
            <w:u w:val="single"/>
          </w:rPr>
          <w:t>Lien source</w:t>
        </w:r>
      </w:hyperlink>
    </w:p>
    <w:p>
      <w:pPr>
        <w:keepNext/>
        <w:keepLines/>
      </w:pPr>
      <w:r>
        <w:rPr>
          <w:rFonts w:ascii="Calibri" w:hAnsi="Calibri"/>
          <w:b/>
          <w:color w:val="203748"/>
        </w:rPr>
        <w:t>CAMBRIDGE-PORTUGUESE-LATE — Holding on in India: The Late Seventeenth and Eighteenth Centuries</w:t>
      </w:r>
    </w:p>
    <w:p>
      <w:pPr>
        <w:spacing w:after="80"/>
        <w:ind w:left="288"/>
      </w:pPr>
      <w:r>
        <w:rPr>
          <w:rFonts w:ascii="Calibri" w:hAnsi="Calibri"/>
        </w:rPr>
        <w:t xml:space="preserve">T1 · corroborating anchor. Portuguese Estado da Índia after seventeenth-century losses. Limite : supports long decline/reconfiguration, not a single-war collapse thesis. </w:t>
      </w:r>
      <w:hyperlink r:id="rId21">
        <w:r>
          <w:rPr>
            <w:color w:val="2E74B5"/>
            <w:u w:val="single"/>
          </w:rPr>
          <w:t>Lien source</w:t>
        </w:r>
      </w:hyperlink>
    </w:p>
    <w:p>
      <w:pPr>
        <w:keepNext/>
        <w:keepLines/>
      </w:pPr>
      <w:r>
        <w:rPr>
          <w:rFonts w:ascii="Calibri" w:hAnsi="Calibri"/>
          <w:b/>
          <w:color w:val="203748"/>
        </w:rPr>
        <w:t>CAMBRIDGE-SEVEN-YEARS-CARNATIC — The Struggle for Supremacy in the Carnatic during the Seven Years War, 1756–61</w:t>
      </w:r>
    </w:p>
    <w:p>
      <w:pPr>
        <w:spacing w:after="80"/>
        <w:ind w:left="288"/>
      </w:pPr>
      <w:r>
        <w:rPr>
          <w:rFonts w:ascii="Calibri" w:hAnsi="Calibri"/>
        </w:rPr>
        <w:t xml:space="preserve">T1 · canonical anchor. Anglo-French military struggle and collapse of French territorial challenge in South India. Limite : Carnatic focus; do not equate French military defeat with disappearance of French trade. </w:t>
      </w:r>
      <w:hyperlink r:id="rId22">
        <w:r>
          <w:rPr>
            <w:color w:val="2E74B5"/>
            <w:u w:val="single"/>
          </w:rPr>
          <w:t>Lien 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36C"/>
        <w:sz w:val="18"/>
      </w:rPr>
      <w:t>Sri Lanka · longue durée jusqu’à 1948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usalCallout">
    <w:name w:val="Causal Callout"/>
    <w:pPr>
      <w:keepLines/>
      <w:spacing w:before="120" w:after="200" w:line="290" w:lineRule="auto"/>
      <w:ind w:left="288" w:right="173"/>
    </w:pPr>
    <w:rPr>
      <w:rFonts w:ascii="Calibri" w:hAnsi="Calibri"/>
      <w:color w:val="20374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pository.cam.ac.uk/items/d9e8ef92-6f8f-434d-80e9-9065fe055699" TargetMode="External"/><Relationship Id="rId12" Type="http://schemas.openxmlformats.org/officeDocument/2006/relationships/hyperlink" Target="https://www.cambridge.org/core/books/abs/emergence-of-british-power-in-india-16001784/indian-dimension-in-the-war-of-the-austrian-succession-174448/5FA0E95C3C050D87A0203C8B429F55F2" TargetMode="External"/><Relationship Id="rId13" Type="http://schemas.openxmlformats.org/officeDocument/2006/relationships/hyperlink" Target="https://www.cambridge.org/core/books/british-naval-power-in-the-east-17941805/introduction/5BBD279CB83BEEDB7CAB4DFC9D7F0BD8" TargetMode="External"/><Relationship Id="rId14" Type="http://schemas.openxmlformats.org/officeDocument/2006/relationships/hyperlink" Target="https://www.cambridge.org/core/journals/itinerario/article/classifications-at-work-social-categories-and-dutch-bureaucracy-in-colonial-sri-lanka/D9826706895727C691F368B8EC71DA43" TargetMode="External"/><Relationship Id="rId15" Type="http://schemas.openxmlformats.org/officeDocument/2006/relationships/hyperlink" Target="https://www.cambridge.org/core/books/abs/company-fortress/conclusion/B4C78562C5CDDBCD822B70FBF19299DF" TargetMode="External"/><Relationship Id="rId16" Type="http://schemas.openxmlformats.org/officeDocument/2006/relationships/hyperlink" Target="https://www.cambridge.org/core/books/abs/british-navy-in-eastern-waters/destroying-all-rivals-18031811/C1FDAD5F59E664E87C5983011B98DB8D" TargetMode="External"/><Relationship Id="rId17" Type="http://schemas.openxmlformats.org/officeDocument/2006/relationships/hyperlink" Target="https://www.cambridge.org/core/books/abs/india-in-the-french-imagination/french-presence-in-india-between-1754-and-1815-from-the-beaux-jours-du-gouvernement-de-dupleix-to-annihilation/37FD8D08F97855533CEB58712993E597" TargetMode="External"/><Relationship Id="rId18" Type="http://schemas.openxmlformats.org/officeDocument/2006/relationships/hyperlink" Target="https://www.cambridge.org/core/journals/journal-of-asian-studies/article/abs/ambivalence-of-freedom-slaves-in-jaffna-sri-lanka-in-the-eighteenth-and-nineteenth-centuries/0DA019FA2028635360498C72E37FDE21" TargetMode="External"/><Relationship Id="rId19" Type="http://schemas.openxmlformats.org/officeDocument/2006/relationships/hyperlink" Target="https://www.cambridge.org/core/books/lawmaking-in-dutch-sri-lanka/" TargetMode="External"/><Relationship Id="rId20" Type="http://schemas.openxmlformats.org/officeDocument/2006/relationships/hyperlink" Target="https://www.cambridge.org/core/books/portuguese-in-india/decline-and-stagnation/85B04D74569AB30ABBB0D615D7D020CB" TargetMode="External"/><Relationship Id="rId21" Type="http://schemas.openxmlformats.org/officeDocument/2006/relationships/hyperlink" Target="https://www.cambridge.org/core/product/F08BEB42BBD63D262DC51ACF60EC36F8" TargetMode="External"/><Relationship Id="rId22" Type="http://schemas.openxmlformats.org/officeDocument/2006/relationships/hyperlink" Target="https://www.cambridge.org/core/books/abs/emergence-of-british-power-in-india-16001784/struggle-for-supremacy-in-the-carnatic-during-the-seven-years-war-175661/9FD9368AEBAA70EE6E2EF9452662F0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 — des interfaces anciennes à l’État de 1948</dc:title>
  <dc:subject>Fresque historico-géographique — édition lecteur v2</dc:subject>
  <dc:creator>Projet tourisme-etude-historico-geographique</dc:creator>
  <cp:keywords>Sri Lanka, histoire, géographie, Jaffna, Polonnaruwa, reader edition</cp:keywords>
  <dc:description>Generated from promoted Markdown on 2026-08-18; narrative_proposal preset with editorial_cover.</dc:description>
  <cp:lastModifiedBy/>
  <cp:revision>1</cp:revision>
  <dcterms:created xsi:type="dcterms:W3CDTF">2013-12-23T23:15:00Z</dcterms:created>
  <dcterms:modified xsi:type="dcterms:W3CDTF">2013-12-23T23:15:00Z</dcterms:modified>
  <cp:category/>
</cp:coreProperties>
</file>