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80" w:after="360"/>
        <w:jc w:val="center"/>
      </w:pPr>
      <w:r>
        <w:rPr>
          <w:rFonts w:ascii="Calibri" w:hAnsi="Calibri"/>
          <w:b/>
          <w:color w:val="966F20"/>
          <w:sz w:val="20"/>
        </w:rPr>
        <w:t>FRESQUE HISTORICO-GÉOGRAPHIQUE · VOLUME 2</w:t>
      </w:r>
    </w:p>
    <w:p>
      <w:pPr>
        <w:spacing w:after="200"/>
        <w:jc w:val="center"/>
      </w:pPr>
      <w:r>
        <w:rPr>
          <w:rFonts w:ascii="Calibri" w:hAnsi="Calibri"/>
          <w:b/>
          <w:color w:val="203748"/>
          <w:sz w:val="56"/>
        </w:rPr>
        <w:t>Sri Lanka — reconstruire l’État après 1948</w:t>
      </w:r>
    </w:p>
    <w:p>
      <w:pPr>
        <w:spacing w:after="1400"/>
        <w:jc w:val="center"/>
      </w:pPr>
      <w:r>
        <w:rPr>
          <w:rFonts w:ascii="Calibri" w:hAnsi="Calibri"/>
          <w:color w:val="2E74B5"/>
          <w:sz w:val="28"/>
        </w:rPr>
        <w:t>Continuités institutionnelles, guerres, développement et recomposition politique</w:t>
      </w:r>
    </w:p>
    <w:tbl>
      <w:tblPr>
        <w:tblW w:type="dxa" w:w="9120"/>
        <w:tblLayout w:type="fixed"/>
        <w:tblLook w:firstColumn="1" w:firstRow="1" w:lastColumn="0" w:lastRow="0" w:noHBand="0" w:noVBand="1" w:val="04A0"/>
        <w:tblInd w:w="120" w:type="dxa"/>
      </w:tblPr>
      <w:tblGrid>
        <w:gridCol w:w="4560"/>
        <w:gridCol w:w="4560"/>
      </w:tblGrid>
      <w:tr>
        <w:tc>
          <w:tcPr>
            <w:tcW w:type="dxa" w:w="4560"/>
            <w:tcMar>
              <w:top w:w="80" w:type="dxa"/>
              <w:start w:w="120" w:type="dxa"/>
              <w:bottom w:w="80" w:type="dxa"/>
              <w:end w:w="120" w:type="dxa"/>
            </w:tcMar>
            <w:shd w:fill="F4F6F9"/>
            <w:tcBorders>
              <w:top w:val="single" w:sz="4" w:color="D7DBE2"/>
              <w:bottom w:val="single" w:sz="4" w:color="D7DBE2"/>
            </w:tcBorders>
          </w:tcPr>
          <w:p>
            <w:r>
              <w:rPr>
                <w:rFonts w:ascii="Calibri" w:hAnsi="Calibri"/>
                <w:b/>
                <w:color w:val="5C636C"/>
                <w:sz w:val="18"/>
              </w:rPr>
              <w:t>ÉDITION LECTEUR V4</w:t>
              <w:br/>
            </w:r>
            <w:r>
              <w:rPr>
                <w:rFonts w:ascii="Calibri" w:hAnsi="Calibri"/>
                <w:color w:val="203748"/>
                <w:sz w:val="19"/>
              </w:rPr>
              <w:t>Composition RUN56</w:t>
            </w:r>
          </w:p>
        </w:tc>
        <w:tc>
          <w:tcPr>
            <w:tcW w:type="dxa" w:w="4560"/>
            <w:tcMar>
              <w:top w:w="80" w:type="dxa"/>
              <w:start w:w="120" w:type="dxa"/>
              <w:bottom w:w="80" w:type="dxa"/>
              <w:end w:w="120" w:type="dxa"/>
            </w:tcMar>
            <w:shd w:fill="F4F6F9"/>
            <w:tcBorders>
              <w:top w:val="single" w:sz="4" w:color="D7DBE2"/>
              <w:bottom w:val="single" w:sz="4" w:color="D7DBE2"/>
            </w:tcBorders>
          </w:tcPr>
          <w:p>
            <w:pPr>
              <w:jc w:val="right"/>
            </w:pPr>
            <w:r>
              <w:rPr>
                <w:rFonts w:ascii="Calibri" w:hAnsi="Calibri"/>
                <w:b/>
                <w:color w:val="5C636C"/>
                <w:sz w:val="18"/>
              </w:rPr>
              <w:t>3 SEPTEMBRE 2026</w:t>
              <w:br/>
            </w:r>
            <w:r>
              <w:rPr>
                <w:rFonts w:ascii="Calibri" w:hAnsi="Calibri"/>
                <w:color w:val="203748"/>
                <w:sz w:val="19"/>
              </w:rPr>
              <w:t>Version matérialisée et vérifiée</w:t>
            </w:r>
          </w:p>
        </w:tc>
      </w:tr>
    </w:tbl>
    <w:p>
      <w:pPr>
        <w:spacing w:before="1080"/>
        <w:jc w:val="center"/>
      </w:pPr>
      <w:r>
        <w:rPr>
          <w:rFonts w:ascii="Calibri" w:hAnsi="Calibri"/>
          <w:i/>
          <w:color w:val="5C636C"/>
          <w:sz w:val="20"/>
        </w:rPr>
        <w:t>Une lecture chronologique guidée par les lieux, les mécanismes et leurs sources.</w:t>
      </w:r>
    </w:p>
    <w:p>
      <w:r>
        <w:br w:type="page"/>
      </w:r>
    </w:p>
    <w:p>
      <w:pPr>
        <w:pStyle w:val="Heading1"/>
      </w:pPr>
      <w:r>
        <w:rPr>
          <w:rFonts w:ascii="Calibri" w:hAnsi="Calibri"/>
        </w:rPr>
        <w:t>Méthode de lecture</w:t>
      </w:r>
    </w:p>
    <w:p>
      <w:r>
        <w:rPr>
          <w:rFonts w:ascii="Calibri" w:hAnsi="Calibri"/>
        </w:rPr>
        <w:t>Le rapport transpose à la période post-indépendance la méthode tourisme-etude-historico-geographique : arcs causaux, huit Historical Intelligence Layers (HIL), zooms local → national → régional/global, sources d’ancrage, bridges minimaux et audit des drifts.</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0EDE7"/>
            <w:tcBorders>
              <w:top w:val="single" w:sz="6" w:color="A69A88" w:space="0"/>
              <w:bottom w:val="single" w:sz="6" w:color="A69A88" w:space="0"/>
              <w:left w:val="single" w:sz="18" w:color="A69A88" w:space="0"/>
              <w:right w:val="single" w:sz="6" w:color="A69A88" w:space="0"/>
            </w:tcBorders>
          </w:tcPr>
          <w:p>
            <w:pPr>
              <w:keepNext/>
              <w:spacing w:after="80"/>
            </w:pPr>
            <w:r/>
            <w:r>
              <w:rPr>
                <w:rFonts w:ascii="Calibri" w:hAnsi="Calibri"/>
              </w:rPr>
              <w:t>POINT DE MÉTHODE</w:t>
            </w:r>
          </w:p>
          <w:p>
            <w:pPr>
              <w:spacing w:after="80"/>
            </w:pPr>
            <w:r>
              <w:rPr>
                <w:rFonts w:ascii="Calibri" w:hAnsi="Calibri"/>
              </w:rPr>
              <w:t>Les HIL ne sont pas huit chapitres à répéter. Elles servent de grille de couverture. Le récit reste chronologique ; une HIL apparaît lorsqu’elle explique effectivement le changement d’un arc.</w:t>
            </w:r>
          </w:p>
        </w:tc>
      </w:tr>
    </w:tbl>
    <w:p>
      <w:pPr>
        <w:spacing w:after="20"/>
      </w:pPr>
    </w:p>
    <w:p>
      <w:pPr>
        <w:pStyle w:val="ListBullet"/>
      </w:pPr>
      <w:r>
        <w:rPr>
          <w:rFonts w:ascii="Calibri" w:hAnsi="Calibri"/>
          <w:b/>
        </w:rPr>
        <w:t>Chapitre 1 · 1948–1956 —</w:t>
      </w:r>
      <w:r>
        <w:rPr>
          <w:rFonts w:ascii="Calibri" w:hAnsi="Calibri"/>
        </w:rPr>
        <w:t xml:space="preserve"> Indépendance et continuité institutionnelle</w:t>
      </w:r>
    </w:p>
    <w:p>
      <w:pPr>
        <w:pStyle w:val="ListBullet"/>
      </w:pPr>
      <w:r>
        <w:rPr>
          <w:rFonts w:ascii="Calibri" w:hAnsi="Calibri"/>
          <w:b/>
        </w:rPr>
        <w:t>Chapitre 2 · 1956–1972 —</w:t>
      </w:r>
      <w:r>
        <w:rPr>
          <w:rFonts w:ascii="Calibri" w:hAnsi="Calibri"/>
        </w:rPr>
        <w:t xml:space="preserve"> Langue, mobilisation et République</w:t>
      </w:r>
    </w:p>
    <w:p>
      <w:pPr>
        <w:pStyle w:val="ListBullet"/>
      </w:pPr>
      <w:r>
        <w:rPr>
          <w:rFonts w:ascii="Calibri" w:hAnsi="Calibri"/>
          <w:b/>
        </w:rPr>
        <w:t>Chapitre 3 · 1972–1983 —</w:t>
      </w:r>
      <w:r>
        <w:rPr>
          <w:rFonts w:ascii="Calibri" w:hAnsi="Calibri"/>
        </w:rPr>
        <w:t xml:space="preserve"> Libéralisation et hyperprésidence</w:t>
      </w:r>
    </w:p>
    <w:p>
      <w:pPr>
        <w:pStyle w:val="ListBullet"/>
      </w:pPr>
      <w:r>
        <w:rPr>
          <w:rFonts w:ascii="Calibri" w:hAnsi="Calibri"/>
          <w:b/>
        </w:rPr>
        <w:t>Chapitre 4 · 1983–2002 —</w:t>
      </w:r>
      <w:r>
        <w:rPr>
          <w:rFonts w:ascii="Calibri" w:hAnsi="Calibri"/>
        </w:rPr>
        <w:t xml:space="preserve"> Guerres imbriquées</w:t>
      </w:r>
    </w:p>
    <w:p>
      <w:pPr>
        <w:pStyle w:val="ListBullet"/>
      </w:pPr>
      <w:r>
        <w:rPr>
          <w:rFonts w:ascii="Calibri" w:hAnsi="Calibri"/>
          <w:b/>
        </w:rPr>
        <w:t>Chapitre 5 · 2002–2009 —</w:t>
      </w:r>
      <w:r>
        <w:rPr>
          <w:rFonts w:ascii="Calibri" w:hAnsi="Calibri"/>
        </w:rPr>
        <w:t xml:space="preserve"> Paix négociée puis victoire militaire</w:t>
      </w:r>
    </w:p>
    <w:p>
      <w:pPr>
        <w:pStyle w:val="ListBullet"/>
      </w:pPr>
      <w:r>
        <w:rPr>
          <w:rFonts w:ascii="Calibri" w:hAnsi="Calibri"/>
          <w:b/>
        </w:rPr>
        <w:t>Chapitre 6 · 2009–2019 —</w:t>
      </w:r>
      <w:r>
        <w:rPr>
          <w:rFonts w:ascii="Calibri" w:hAnsi="Calibri"/>
        </w:rPr>
        <w:t xml:space="preserve"> Infrastructure et pivot asiatique</w:t>
      </w:r>
    </w:p>
    <w:p>
      <w:pPr>
        <w:pStyle w:val="ListBullet"/>
      </w:pPr>
      <w:r>
        <w:rPr>
          <w:rFonts w:ascii="Calibri" w:hAnsi="Calibri"/>
          <w:b/>
        </w:rPr>
        <w:t>Chapitre 7 · 2019–2022 —</w:t>
      </w:r>
      <w:r>
        <w:rPr>
          <w:rFonts w:ascii="Calibri" w:hAnsi="Calibri"/>
        </w:rPr>
        <w:t xml:space="preserve"> Effondrement macro-fiscal</w:t>
      </w:r>
    </w:p>
    <w:p>
      <w:pPr>
        <w:pStyle w:val="ListBullet"/>
      </w:pPr>
      <w:r>
        <w:rPr>
          <w:rFonts w:ascii="Calibri" w:hAnsi="Calibri"/>
          <w:b/>
        </w:rPr>
        <w:t>Chapitre 8 · 2022–2026 —</w:t>
      </w:r>
      <w:r>
        <w:rPr>
          <w:rFonts w:ascii="Calibri" w:hAnsi="Calibri"/>
        </w:rPr>
        <w:t xml:space="preserve"> Stabilisation et realignment NPP</w:t>
      </w:r>
    </w:p>
    <w:p>
      <w:pPr>
        <w:pStyle w:val="Heading2"/>
      </w:pPr>
      <w:r>
        <w:rPr>
          <w:rFonts w:ascii="Calibri" w:hAnsi="Calibri"/>
        </w:rPr>
        <w:t>Comment lire ce rapport</w:t>
      </w:r>
    </w:p>
    <w:p>
      <w:r>
        <w:rPr>
          <w:rFonts w:ascii="Calibri" w:hAnsi="Calibri"/>
        </w:rPr>
        <w:t xml:space="preserve">Ce rapport prolonge la fresque historique au-delà de 1948 avec la même question : </w:t>
      </w:r>
      <w:r>
        <w:rPr>
          <w:rFonts w:ascii="Calibri" w:hAnsi="Calibri"/>
          <w:b/>
        </w:rPr>
        <w:t>qu'est-ce qui permet à un centre de mobiliser des ressources, de légitimer le pouvoir, de contrôler le territoire et de rester branché sur les flux régionaux - puis qu'est-ce qui rend cet optimum obsolète ?</w:t>
      </w:r>
    </w:p>
    <w:p>
      <w:r>
        <w:rPr>
          <w:rFonts w:ascii="Calibri" w:hAnsi="Calibri"/>
        </w:rPr>
        <w:t xml:space="preserve">Pour l'époque moderne, les huit HIL sont conservées mais changent de matière. L'eau et le riz ne disparaissent pas ; ils cessent simplement d'être l'unique infrastructure d'État. Le couple décisif devient souvent </w:t>
      </w:r>
      <w:r>
        <w:rPr>
          <w:rFonts w:ascii="Calibri" w:hAnsi="Calibri"/>
          <w:b/>
        </w:rPr>
        <w:t>fiscalité/devises/dette + coalition électorale</w:t>
      </w:r>
      <w:r>
        <w:rPr>
          <w:rFonts w:ascii="Calibri" w:hAnsi="Calibri"/>
        </w:rPr>
        <w:t>, tandis que l'identité linguistique et religieuse entre plus directement dans le droit constitutionnel. Les ports restent des nœuds, mais ils sont désormais couplés au tourisme, aux remittances, aux chaînes logistiques et aux investissements étrangers.</w:t>
      </w:r>
    </w:p>
    <w:p>
      <w:pPr>
        <w:pStyle w:val="Heading3"/>
      </w:pPr>
      <w:r>
        <w:rPr>
          <w:rFonts w:ascii="Calibri" w:hAnsi="Calibri"/>
        </w:rPr>
        <w:t>Sources d'ancrage</w:t>
      </w:r>
    </w:p>
    <w:p>
      <w:r>
        <w:rPr>
          <w:rFonts w:ascii="Calibri" w:hAnsi="Calibri"/>
        </w:rPr>
        <w:t>La règle des quatre familles est conservée : Department of Archaeology pour la matérialité et la politique patrimoniale ; Cambridge pour la critique historique et régionale ; UNESCO pour patrimoine/culture/éducation ; Wikipédia comme navigateur, jamais comme arbitre causal. Pour 1948-2026, des sources primaires modernes deviennent indispensables : Parlement, textes constitutionnels, Présidence, statistiques, Banque mondiale, FMI et résultats électoraux.</w:t>
      </w:r>
    </w:p>
    <w:p>
      <w:pPr>
        <w:pStyle w:val="Heading1"/>
        <w:pageBreakBefore/>
      </w:pPr>
      <w:r>
        <w:rPr>
          <w:rFonts w:ascii="Calibri" w:hAnsi="Calibri"/>
        </w:rPr>
        <w:t>Chapitre 1 — 1948-1956 : indépendance, continuité institutionnelle et première exclusion</w:t>
      </w:r>
    </w:p>
    <w:p>
      <w:r>
        <w:rPr>
          <w:rFonts w:ascii="Calibri" w:hAnsi="Calibri"/>
          <w:b/>
        </w:rPr>
        <w:t>Question causale : pourquoi l'indépendance produit-elle d'abord une forte continuité de l'État colonial plutôt qu'une refondation complète ?</w:t>
      </w:r>
    </w:p>
    <w:p>
      <w:r>
        <w:rPr>
          <w:rFonts w:ascii="Calibri" w:hAnsi="Calibri"/>
        </w:rPr>
        <w:t>En 1948, Ceylan devient indépendant tout en conservant le cadre parlementaire de Westminster, une bureaucratie forte, des liens britanniques et une économie d'exportation héritée de la colonisation. Cette continuité apporte stabilité et capacité administrative. Elle contient aussi une contradiction : l'État-providence et le suffrage donnent une forte profondeur sociale à la démocratie, mais la définition de la citoyenneté exclut une large partie des Tamouls des plantations. Le nouvel État est donc démocratique et social, mais son demos est immédiatement disputé.</w:t>
      </w:r>
    </w:p>
    <w:p>
      <w:pPr>
        <w:pStyle w:val="Heading2"/>
      </w:pPr>
      <w:r>
        <w:rPr>
          <w:rFonts w:ascii="Calibri" w:hAnsi="Calibri"/>
        </w:rPr>
        <w:t>Approfondissement — 1948 : qui hérite réellement de l'État colonial ?</w:t>
      </w:r>
    </w:p>
    <w:p>
      <w:r>
        <w:rPr>
          <w:rFonts w:ascii="Calibri" w:hAnsi="Calibri"/>
        </w:rPr>
        <w:t>L'indépendance ne part pas d'une page blanche. Le nouvel État hérite d'un territoire unifié, d'une administration anglophone, d'un système scolaire très inégalement réparti et de hiérarchies sociales que les administrations coloniales ont parfois codifiées sans les avoir inventées.</w:t>
      </w:r>
    </w:p>
    <w:p>
      <w:r>
        <w:rPr>
          <w:rFonts w:ascii="Calibri" w:hAnsi="Calibri"/>
        </w:rPr>
        <w:t>Jaffna est un cas décisif. Au XIXe siècle, missions protestantes, écoles, imprimerie et anglais y constituent un bassin de capital humain particulièrement dense. Des familles de la péninsule convertissent cette ressource en postes d'enseignants, médecins, avocats, ingénieurs, fonctionnaires et carrières impériales [CAMBRIDGE-ACM-EDU ; CAMBRIDGE-TWO-SOCIETIES].</w:t>
      </w:r>
    </w:p>
    <w:p>
      <w:r>
        <w:rPr>
          <w:rFonts w:ascii="Calibri" w:hAnsi="Calibri"/>
        </w:rPr>
        <w:t xml:space="preserve">Première correction : </w:t>
      </w:r>
      <w:r>
        <w:rPr>
          <w:rFonts w:ascii="Calibri" w:hAnsi="Calibri"/>
          <w:b/>
        </w:rPr>
        <w:t>les Tamouls de Ceylan ne sont pas simplement une minorité historiquement sous-représentée dans l'appareil colonial</w:t>
      </w:r>
      <w:r>
        <w:rPr>
          <w:rFonts w:ascii="Calibri" w:hAnsi="Calibri"/>
        </w:rPr>
        <w:t>. Certaines élites tamoules anglophones réussissent fortement dans les examens et professions [CAMBRIDGE-STATE-NATION]. Cela ne signifie ni contrôle de tout l'État ni égalité de pouvoir politique. Cela signifie que les réformes postcoloniales vont redistribuer un capital institutionnel déjà très inégalement distribué.</w:t>
      </w:r>
    </w:p>
    <w:p>
      <w:pPr>
        <w:pStyle w:val="Heading3"/>
      </w:pPr>
      <w:r>
        <w:rPr>
          <w:rFonts w:ascii="Calibri" w:hAnsi="Calibri"/>
        </w:rPr>
        <w:t>Institutions : indépendance sans rupture totale</w:t>
      </w:r>
    </w:p>
    <w:p>
      <w:r>
        <w:rPr>
          <w:rFonts w:ascii="Calibri" w:hAnsi="Calibri"/>
        </w:rPr>
        <w:t>Le Dominion de Ceylan hérite d'un appareil d'État déjà dense : fonction publique, justice, élections, plantation economy, réseau scolaire et sanitaire. Les vingt-cinq premières années post-indépendance sont marquées par des élections compétitives et l'alternance, ce qui distingue longtemps Sri Lanka de nombreux États postcoloniaux. Mais le souverain constitutionnel reste encore la Couronne jusqu'en 1972, et les routines administratives britanniques conservent un poids important.</w:t>
      </w:r>
    </w:p>
    <w:p>
      <w:r>
        <w:rPr>
          <w:rFonts w:ascii="Calibri" w:hAnsi="Calibri"/>
        </w:rPr>
        <w:t xml:space="preserve">Le premier paradoxe moderne est donc un </w:t>
      </w:r>
      <w:r>
        <w:rPr>
          <w:rFonts w:ascii="Calibri" w:hAnsi="Calibri"/>
          <w:b/>
        </w:rPr>
        <w:t>paradoxe de continuité</w:t>
      </w:r>
      <w:r>
        <w:rPr>
          <w:rFonts w:ascii="Calibri" w:hAnsi="Calibri"/>
        </w:rPr>
        <w:t xml:space="preserve"> : ce qui rend le nouvel État gouvernable retarde aussi le moment où les conflits sur la langue, la religion, la nationalité et la distribution territoriale seront constitutionnellement retravaillés.</w:t>
      </w:r>
    </w:p>
    <w:p>
      <w:pPr>
        <w:pStyle w:val="Heading3"/>
      </w:pPr>
      <w:r>
        <w:rPr>
          <w:rFonts w:ascii="Calibri" w:hAnsi="Calibri"/>
        </w:rPr>
        <w:t>État-providence et citoyenneté</w:t>
      </w:r>
    </w:p>
    <w:p>
      <w:r>
        <w:rPr>
          <w:rFonts w:ascii="Calibri" w:hAnsi="Calibri"/>
        </w:rPr>
        <w:t>L'État maintient et développe des politiques de santé, d'éducation et de subventions qui deviendront une signature sri-lankaise. Elles fabriquent un contrat social national : l'État n'est pas seulement policier et fiscal, il distribue éducation, médecine et nourriture subventionnée.</w:t>
      </w:r>
    </w:p>
    <w:p>
      <w:r>
        <w:rPr>
          <w:rFonts w:ascii="Calibri" w:hAnsi="Calibri"/>
        </w:rPr>
        <w:t>Mais la loi de citoyenneté de 1948 crée une frontière politique majeure autour des Tamouls des plantations, descendants de travailleurs amenés sous la colonisation. La question n'est pas une simple « minorité ethnique » : elle combine classe, plantation, migration coloniale et représentation électorale. Une population essentielle à l'économie d'exportation peut donc être marginalisée dans la définition du corps politique.</w:t>
      </w:r>
    </w:p>
    <w:p>
      <w:pPr>
        <w:pStyle w:val="Heading3"/>
      </w:pPr>
      <w:r>
        <w:rPr>
          <w:rFonts w:ascii="Calibri" w:hAnsi="Calibri"/>
        </w:rPr>
        <w:t>Highlands de plantation vs Colombo</w:t>
      </w:r>
    </w:p>
    <w:p>
      <w:r>
        <w:rPr>
          <w:rFonts w:ascii="Calibri" w:hAnsi="Calibri"/>
        </w:rPr>
        <w:t>Le contraste spatial est structurant. Colombo concentre institutions et services ; les hautes terres de plantation concentrent une économie de thé insérée dans les marchés mondiaux mais une population ouvrière socialement et politiquement vulnérable. La géographie coloniale survit à l'indépendance sous forme de géographie sociale.</w:t>
      </w:r>
    </w:p>
    <w:p>
      <w:pPr>
        <w:pStyle w:val="Heading3"/>
      </w:pPr>
      <w:r>
        <w:rPr>
          <w:rFonts w:ascii="Calibri" w:hAnsi="Calibri"/>
        </w:rPr>
        <w:t>Inde, Royaume-Uni et océan Indien</w:t>
      </w:r>
    </w:p>
    <w:p>
      <w:r>
        <w:rPr>
          <w:rFonts w:ascii="Calibri" w:hAnsi="Calibri"/>
        </w:rPr>
        <w:t>L'État doit ménager simultanément la relation avec Londres et la relation avec l'Inde indépendante. La question des Tamouls indiens est immédiatement bilatérale autant que domestique. C'est déjà une règle moderne de l'île : une question intérieure peut changer d'échelle et devenir régionale par la proximité de l'Inde.</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0EDE7"/>
            <w:tcBorders>
              <w:top w:val="single" w:sz="6" w:color="A69A88" w:space="0"/>
              <w:bottom w:val="single" w:sz="6" w:color="A69A88" w:space="0"/>
              <w:left w:val="single" w:sz="18" w:color="A69A88" w:space="0"/>
              <w:right w:val="single" w:sz="6" w:color="A69A88" w:space="0"/>
            </w:tcBorders>
          </w:tcPr>
          <w:p>
            <w:pPr>
              <w:keepNext/>
              <w:spacing w:after="80"/>
            </w:pPr>
            <w:r/>
            <w:r>
              <w:rPr>
                <w:rFonts w:ascii="Calibri" w:hAnsi="Calibri"/>
              </w:rPr>
              <w:t>POINT DE MÉTHODE — LE BIAIS DE L'INDÉPENDANCE</w:t>
            </w:r>
          </w:p>
          <w:p>
            <w:pPr>
              <w:spacing w:after="80"/>
            </w:pPr>
            <w:r>
              <w:rPr>
                <w:rFonts w:ascii="Calibri" w:hAnsi="Calibri"/>
              </w:rPr>
              <w:t>1948 est une date juridique très forte, mais elle ne doit pas être traitée comme une remise à zéro. Pour les institutions, l'économie et les hiérarchies sociales, l'arc colonial traverse la date. Le changement légal est rapide ; la transformation de l'État est lente.</w:t>
            </w:r>
          </w:p>
        </w:tc>
      </w:tr>
    </w:tbl>
    <w:p>
      <w:pPr>
        <w:spacing w:after="20"/>
      </w:pPr>
    </w:p>
    <w:p>
      <w:r>
        <w:rPr>
          <w:rFonts w:ascii="Calibri" w:hAnsi="Calibri"/>
          <w:b/>
        </w:rPr>
        <w:t>Ce qui rend l'optimum obsolète :</w:t>
      </w:r>
      <w:r>
        <w:rPr>
          <w:rFonts w:ascii="Calibri" w:hAnsi="Calibri"/>
        </w:rPr>
        <w:t xml:space="preserve"> l'électorat de masse rend la politique de plus en plus sensible aux demandes de langue, d'authenticité culturelle et de redistribution. La continuité élitaire anglophone perd son pouvoir de coalition.</w:t>
      </w:r>
    </w:p>
    <w:p>
      <w:r>
        <w:rPr>
          <w:rFonts w:ascii="Calibri" w:hAnsi="Calibri"/>
          <w:b/>
        </w:rPr>
        <w:t>Passage vers le chapitre 2 :</w:t>
      </w:r>
      <w:r>
        <w:rPr>
          <w:rFonts w:ascii="Calibri" w:hAnsi="Calibri"/>
        </w:rPr>
        <w:t xml:space="preserve"> la démocratisation sociale transforme la langue et le bouddhisme en ressources électorales de masse.</w:t>
      </w:r>
    </w:p>
    <w:p>
      <w:pPr>
        <w:pStyle w:val="Heading1"/>
        <w:pageBreakBefore/>
      </w:pPr>
      <w:r>
        <w:rPr>
          <w:rFonts w:ascii="Calibri" w:hAnsi="Calibri"/>
        </w:rPr>
        <w:t>Chapitre 2 — 1956-1972 : la politique devient linguistique, culturelle et républicaine</w:t>
      </w:r>
    </w:p>
    <w:p>
      <w:r>
        <w:rPr>
          <w:rFonts w:ascii="Calibri" w:hAnsi="Calibri"/>
          <w:b/>
        </w:rPr>
        <w:t>Question causale : comment une démocratisation de masse transforme-t-elle l'authenticité culturelle en technologie de coalition, puis en conflit constitutionnel ?</w:t>
      </w:r>
    </w:p>
    <w:p>
      <w:r>
        <w:rPr>
          <w:rFonts w:ascii="Calibri" w:hAnsi="Calibri"/>
        </w:rPr>
        <w:t>1956 est une rupture parce que le pouvoir ne se contente plus d'administrer l'État hérité : il cherche à le nationaliser culturellement. Le Sinhala Only Act fait du cinghalais la langue officielle unique. L'État élargit la représentation symbolique de la majorité, mais dégrade simultanément la confiance d'une partie des citoyens tamoulophones. Des compromis sont négociés puis abandonnés sous pression politique. La première insurrection JVP de 1971 ajoute une seconde fracture : une jeunesse cinghalaise éduquée mais frustrée conteste aussi l'État. La République de 1972 clôt l'arc en constitutionnalisant une nouvelle définition de la souveraineté et en donnant au bouddhisme une place privilégiée.</w:t>
      </w:r>
    </w:p>
    <w:p>
      <w:pPr>
        <w:pStyle w:val="Heading2"/>
      </w:pPr>
      <w:r>
        <w:rPr>
          <w:rFonts w:ascii="Calibri" w:hAnsi="Calibri"/>
        </w:rPr>
        <w:t>Approfondissement — 1956 : décoloniser l'anglais, puis choisir qui accède à l'État</w:t>
      </w:r>
    </w:p>
    <w:p>
      <w:r>
        <w:rPr>
          <w:rFonts w:ascii="Calibri" w:hAnsi="Calibri"/>
        </w:rPr>
        <w:t xml:space="preserve">Lire </w:t>
      </w:r>
      <w:r>
        <w:rPr>
          <w:rFonts w:ascii="Calibri" w:hAnsi="Calibri"/>
          <w:i/>
        </w:rPr>
        <w:t>Sinhala Only</w:t>
      </w:r>
      <w:r>
        <w:rPr>
          <w:rFonts w:ascii="Calibri" w:hAnsi="Calibri"/>
        </w:rPr>
        <w:t xml:space="preserve"> comme une simple hostilité cinghalaise envers les Tamouls manque un mécanisme réel : l'anglais reste la langue de l'ancienne élite. Le remplacer répond aussi à une revendication démocratique postcoloniale — rendre l'État accessible à la majorité dans une langue locale [CAMBRIDGE-LANGUAGE-DECOLONIZATION].</w:t>
      </w:r>
    </w:p>
    <w:p>
      <w:r>
        <w:rPr>
          <w:rFonts w:ascii="Calibri" w:hAnsi="Calibri"/>
        </w:rPr>
        <w:t xml:space="preserve">Mais cette décolonisation aurait pu reconnaître </w:t>
      </w:r>
      <w:r>
        <w:rPr>
          <w:rFonts w:ascii="Calibri" w:hAnsi="Calibri"/>
          <w:b/>
        </w:rPr>
        <w:t>Sinhala + Tamil</w:t>
      </w:r>
      <w:r>
        <w:rPr>
          <w:rFonts w:ascii="Calibri" w:hAnsi="Calibri"/>
        </w:rPr>
        <w:t>. Le choix du cinghalais comme seule langue officielle superpose donc deux redistributions : ouverture de l'État à de nombreux Cinghalophones et fermeture relative d'un gateway pour les Tamilophones, particulièrement coûteuse dans une région ayant massivement investi dans l'anglais [CAMBRIDGE-LANGUAGE-JAFFNA].</w:t>
      </w:r>
    </w:p>
    <w:p>
      <w:r>
        <w:rPr>
          <w:rFonts w:ascii="Calibri" w:hAnsi="Calibri"/>
        </w:rPr>
        <w:t xml:space="preserve">L'anglais doit alors être traité comme </w:t>
      </w:r>
      <w:r>
        <w:rPr>
          <w:rFonts w:ascii="Calibri" w:hAnsi="Calibri"/>
          <w:b/>
        </w:rPr>
        <w:t>amplificateur de portabilité</w:t>
      </w:r>
      <w:r>
        <w:rPr>
          <w:rFonts w:ascii="Calibri" w:hAnsi="Calibri"/>
        </w:rPr>
        <w:t xml:space="preserve"> : utile pour enseignement supérieur, professions et économie internationale, mais insuffisant à lui seul pour expliquer une trajectoire de croissance [WORLD-BANK-ENGLISH-2014 ; CAMBRIDGE-INWARD-ECONOMY].</w:t>
      </w:r>
    </w:p>
    <w:p>
      <w:pPr>
        <w:pStyle w:val="Heading2"/>
      </w:pPr>
      <w:r>
        <w:rPr>
          <w:rFonts w:ascii="Calibri" w:hAnsi="Calibri"/>
        </w:rPr>
        <w:t>Approfondissement — La caste : non pas une cause totale, mais une infrastructure de reproduction sociale</w:t>
      </w:r>
    </w:p>
    <w:p>
      <w:r>
        <w:rPr>
          <w:rFonts w:ascii="Calibri" w:hAnsi="Calibri"/>
        </w:rPr>
        <w:t>La nouvelle fresque conserve la caste comme axe vertical : statut, temple, propriété, réseaux, mariage, accès aux opportunités. Elle ne remplace ni la langue, ni la constitution, ni la guerre.</w:t>
      </w:r>
    </w:p>
    <w:p>
      <w:r>
        <w:rPr>
          <w:rFonts w:ascii="Calibri" w:hAnsi="Calibri"/>
        </w:rPr>
        <w:t xml:space="preserve">Sri Lanka a bien légiféré contre la discrimination de caste : le </w:t>
      </w:r>
      <w:r>
        <w:rPr>
          <w:rFonts w:ascii="Calibri" w:hAnsi="Calibri"/>
          <w:i/>
        </w:rPr>
        <w:t>Prevention of Social Disabilities Act</w:t>
      </w:r>
      <w:r>
        <w:rPr>
          <w:rFonts w:ascii="Calibri" w:hAnsi="Calibri"/>
        </w:rPr>
        <w:t xml:space="preserve"> de 1957 puis son amendement de 1971 renforcent l'interdiction et les sanctions [SRI-LANKA-SOCIAL-DISABILITIES-1957 ; SRI-LANKA-SOCIAL-DISABILITIES-1971]. Le contraste avec l'Inde n'est donc pas « réforme contre absence de réforme », mais </w:t>
      </w:r>
      <w:r>
        <w:rPr>
          <w:rFonts w:ascii="Calibri" w:hAnsi="Calibri"/>
          <w:b/>
        </w:rPr>
        <w:t>choix d'instruments</w:t>
      </w:r>
      <w:r>
        <w:rPr>
          <w:rFonts w:ascii="Calibri" w:hAnsi="Calibri"/>
        </w:rPr>
        <w:t xml:space="preserve"> : Sri Lanka délégitime juridiquement la caste alors que Tamil Nadu emploie aussi des catégories de caste pour redistribuer explicitement l'accès à l'éducation et à l'emploi public.</w:t>
      </w:r>
    </w:p>
    <w:p>
      <w:pPr>
        <w:pStyle w:val="Heading3"/>
      </w:pPr>
      <w:r>
        <w:rPr>
          <w:rFonts w:ascii="Calibri" w:hAnsi="Calibri"/>
        </w:rPr>
        <w:t>1968, Maviddapuram : quand deux clivages se superposent</w:t>
      </w:r>
    </w:p>
    <w:p>
      <w:r>
        <w:rPr>
          <w:rFonts w:ascii="Calibri" w:hAnsi="Calibri"/>
        </w:rPr>
        <w:t>Le conflit d'entrée au temple montre une caste encore politiquement vive dans le nord : militants notamment Pallar et Nalavar face à des défenseurs de statuts plus élevés [CAMBRIDGE-JAFFNA-TEMPLE-1968]. Pourtant, la détérioration du rapport entre Tamouls et État majoritaire augmente bientôt le rendement politique d'une identité tamoule commune.</w:t>
      </w:r>
    </w:p>
    <w:p>
      <w:r>
        <w:rPr>
          <w:rFonts w:ascii="Calibri" w:hAnsi="Calibri"/>
        </w:rPr>
        <w:t>Le bridge est donc :</w:t>
      </w:r>
    </w:p>
    <w:p>
      <w:pPr>
        <w:pStyle w:val="CausalCallout"/>
      </w:pPr>
      <w:r>
        <w:rPr>
          <w:rFonts w:ascii="Calibri" w:hAnsi="Calibri"/>
          <w:b/>
        </w:rPr>
        <w:t>conflit de caste public → pression ethnonationale extérieure → nationalisme défensif → recul relatif de la caste comme cleavage politique, sans disparition de ses mécanismes privés.</w:t>
      </w:r>
    </w:p>
    <w:p>
      <w:pPr>
        <w:pStyle w:val="Heading2"/>
      </w:pPr>
      <w:r>
        <w:rPr>
          <w:rFonts w:ascii="Calibri" w:hAnsi="Calibri"/>
        </w:rPr>
        <w:t>Approfondissement — Indonésie : décolonisation linguistique sans langue de la majorité</w:t>
      </w:r>
    </w:p>
    <w:p>
      <w:r>
        <w:rPr>
          <w:rFonts w:ascii="Calibri" w:hAnsi="Calibri"/>
        </w:rPr>
        <w:t>Les Javanais sont le groupe le plus nombreux, mais le nationalisme indonésien choisit une lingua franca malayo-indonésienne plutôt que le javanais comme langue nationale [CAMBRIDGE-INDONESIA-LANGUAGE]. Les données contemporaines de BPS montrent que Bahasa Indonesia coexiste toujours avec un usage massif de langues régionales [BPS-INDONESIA-LANGUAGE-2024].</w:t>
      </w:r>
    </w:p>
    <w:p>
      <w:r>
        <w:rPr>
          <w:rFonts w:ascii="Calibri" w:hAnsi="Calibri"/>
        </w:rPr>
        <w:t>Ce cas élargit le choix institutionnel disponible :</w:t>
      </w:r>
    </w:p>
    <w:p>
      <w:pPr>
        <w:pStyle w:val="CausalCallout"/>
      </w:pPr>
      <w:r>
        <w:rPr>
          <w:rFonts w:ascii="Calibri" w:hAnsi="Calibri"/>
          <w:b/>
        </w:rPr>
        <w:t>une langue commune postcoloniale peut être construite sans être la langue maternelle du groupe démographiquement dominant et sans faire disparaître les langues régionales.</w:t>
      </w:r>
    </w:p>
    <w:p>
      <w:r>
        <w:rPr>
          <w:rFonts w:ascii="Calibri" w:hAnsi="Calibri"/>
        </w:rPr>
        <w:t>Mais il ne prouve pas « Bahasa Indonesia → paix et croissance ». Autoritarisme, violences, ressources, archipel et trajectoire économique empêchent de transporter l'outcome.</w:t>
      </w:r>
    </w:p>
    <w:p>
      <w:pPr>
        <w:pStyle w:val="Heading2"/>
      </w:pPr>
      <w:r>
        <w:rPr>
          <w:rFonts w:ascii="Calibri" w:hAnsi="Calibri"/>
        </w:rPr>
        <w:t>Approfondissement — Colombo, Bandung, Belgrade : souveraineté interne et externe</w:t>
      </w:r>
    </w:p>
    <w:p>
      <w:r>
        <w:rPr>
          <w:rFonts w:ascii="Calibri" w:hAnsi="Calibri"/>
        </w:rPr>
        <w:t xml:space="preserve">La chronologie reste </w:t>
      </w:r>
      <w:r>
        <w:rPr>
          <w:rFonts w:ascii="Calibri" w:hAnsi="Calibri"/>
          <w:b/>
        </w:rPr>
        <w:t>Colombo 1954 → Bandung 1955 → Belgrade 1961 → Colombo NAM 1976</w:t>
      </w:r>
      <w:r>
        <w:rPr>
          <w:rFonts w:ascii="Calibri" w:hAnsi="Calibri"/>
        </w:rPr>
        <w:t xml:space="preserve"> [CAMBRIDGE-NAM-KOTELAWALA ; CAMBRIDGE-NAM-NIEO]. Kotelawala est nettement anticommuniste ; les Bandaranaike développent ensuite neutralisme, récupération des bases britanniques et diversification des partenaires [FRUS-CEYLON-1958].</w:t>
      </w:r>
    </w:p>
    <w:p>
      <w:r>
        <w:rPr>
          <w:rFonts w:ascii="Calibri" w:hAnsi="Calibri"/>
        </w:rPr>
        <w:t xml:space="preserve">Langue, nationalisations, politique sociale et non-alignement ne forment pas une chaîne causale unique. Ils parlent néanmoins une même grammaire postcoloniale : </w:t>
      </w:r>
      <w:r>
        <w:rPr>
          <w:rFonts w:ascii="Calibri" w:hAnsi="Calibri"/>
          <w:b/>
        </w:rPr>
        <w:t>qui gouverne, dans quelle langue, avec quelles élites et quelle dépendance envers les anciens centres impériaux ?</w:t>
      </w:r>
    </w:p>
    <w:p>
      <w:pPr>
        <w:pStyle w:val="Heading3"/>
      </w:pPr>
      <w:r>
        <w:rPr>
          <w:rFonts w:ascii="Calibri" w:hAnsi="Calibri"/>
        </w:rPr>
        <w:t>Sinhala Only et transformation de la légitimité</w:t>
      </w:r>
    </w:p>
    <w:p>
      <w:r>
        <w:rPr>
          <w:rFonts w:ascii="Calibri" w:hAnsi="Calibri"/>
        </w:rPr>
        <w:t>Le passage au cinghalais comme seule langue officielle en 1956 répond à une demande réelle de décolonisation linguistique et d'accès aux emplois publics. Mais il transforme une politique d'émancipation postcoloniale en asymétrie nationale lorsque le tamoul ne reçoit pas une position équivalente.</w:t>
      </w:r>
    </w:p>
    <w:p>
      <w:r>
        <w:rPr>
          <w:rFonts w:ascii="Calibri" w:hAnsi="Calibri"/>
        </w:rPr>
        <w:t xml:space="preserve">La langue devient ainsi un </w:t>
      </w:r>
      <w:r>
        <w:rPr>
          <w:rFonts w:ascii="Calibri" w:hAnsi="Calibri"/>
          <w:b/>
        </w:rPr>
        <w:t>multiplicateur institutionnel</w:t>
      </w:r>
      <w:r>
        <w:rPr>
          <w:rFonts w:ascii="Calibri" w:hAnsi="Calibri"/>
        </w:rPr>
        <w:t xml:space="preserve"> : elle touche concours, administration, éducation, mobilité sociale et reconnaissance symbolique. La causalité n'est pas « une loi crée la guerre civile » ; elle est plus longue : changement de langue -\&gt; asymétrie d'accès et de reconnaissance -\&gt; mobilisation politique -\&gt; échecs de compromis -\&gt; durcissement des projets nationaux concurrents.</w:t>
      </w:r>
    </w:p>
    <w:p>
      <w:r>
        <w:rPr>
          <w:rFonts w:ascii="Calibri" w:hAnsi="Calibri"/>
        </w:rPr>
        <w:t>Les pactes négociés avec S. J. V. Chelvanayakam montrent que des solutions de dévolution et d'usage linguistique sont envisagées. Leur abandon révèle une faiblesse durable : les élites peuvent négocier un compromis mais ne pas disposer de la coalition nécessaire pour l'imposer contre les mobilisations de rue et les oppositions partisanes.</w:t>
      </w:r>
    </w:p>
    <w:p>
      <w:pPr>
        <w:pStyle w:val="Heading3"/>
      </w:pPr>
      <w:r>
        <w:rPr>
          <w:rFonts w:ascii="Calibri" w:hAnsi="Calibri"/>
        </w:rPr>
        <w:t>une autre fracture : la jeunesse cinghalaise</w:t>
      </w:r>
    </w:p>
    <w:p>
      <w:r>
        <w:rPr>
          <w:rFonts w:ascii="Calibri" w:hAnsi="Calibri"/>
        </w:rPr>
        <w:t>La première insurrection du JVP en 1971 empêche de lire toute l'histoire moderne uniquement à travers l'axe cinghalais/tamoul. Une partie de la jeunesse éduquée, rurale ou semi-urbaine, voit dans l'État une promesse de mobilité qu'il ne peut satisfaire. La massification de l'éducation augmente les attentes plus vite que les emplois qualifiés.</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7F3E8"/>
            <w:tcBorders>
              <w:top w:val="single" w:sz="6" w:color="83AA88" w:space="0"/>
              <w:bottom w:val="single" w:sz="6" w:color="83AA88" w:space="0"/>
              <w:left w:val="single" w:sz="18" w:color="83AA88" w:space="0"/>
              <w:right w:val="single" w:sz="6" w:color="83AA88" w:space="0"/>
            </w:tcBorders>
          </w:tcPr>
          <w:p>
            <w:pPr>
              <w:keepNext/>
              <w:spacing w:after="80"/>
            </w:pPr>
            <w:r/>
            <w:r>
              <w:rPr>
                <w:rFonts w:ascii="Calibri" w:hAnsi="Calibri"/>
              </w:rPr>
              <w:t>MAIS AUSSI — DEUX CONFLITS QUI NE SE SUPERPOSENT PAS</w:t>
            </w:r>
          </w:p>
          <w:p>
            <w:pPr>
              <w:spacing w:after="80"/>
            </w:pPr>
            <w:r>
              <w:rPr>
                <w:rFonts w:ascii="Calibri" w:hAnsi="Calibri"/>
              </w:rPr>
              <w:t>La future guerre au Nord-Est et les insurrections JVP ont des idéologies, des bases sociales et des géographies différentes. Elles ont pourtant un mécanisme commun : l'État postcolonial produit de nouvelles attentes d'égalité et de mobilité qu'il ne sait pas toujours absorber politiquement.</w:t>
            </w:r>
          </w:p>
        </w:tc>
      </w:tr>
    </w:tbl>
    <w:p>
      <w:pPr>
        <w:spacing w:after="20"/>
      </w:pPr>
    </w:p>
    <w:p>
      <w:pPr>
        <w:pStyle w:val="Heading3"/>
      </w:pPr>
      <w:r>
        <w:rPr>
          <w:rFonts w:ascii="Calibri" w:hAnsi="Calibri"/>
        </w:rPr>
        <w:t>1972 : la religion entre explicitement dans l'architecture constitutionnelle</w:t>
      </w:r>
    </w:p>
    <w:p>
      <w:r>
        <w:rPr>
          <w:rFonts w:ascii="Calibri" w:hAnsi="Calibri"/>
        </w:rPr>
        <w:t>La Constitution de 1972 fait de Ceylan la République de Sri Lanka, rompt les derniers liens constitutionnels avec la Couronne et donne au bouddhisme la « foremost place ». Le passage est décisif pour notre longue durée : l'ancien rapport entre roi et sāsana n'est pas restauré, mais la majorité bouddhiste obtient une reconnaissance constitutionnelle explicite dans un État moderne.</w:t>
      </w:r>
    </w:p>
    <w:p>
      <w:r>
        <w:rPr>
          <w:rFonts w:ascii="Calibri" w:hAnsi="Calibri"/>
        </w:rPr>
        <w:t>Il faut éviter une fausse continuité : la Dent du Bouddha ne devient pas une source de droit constitutionnel. En revanche, la longue mémoire de l'île comme protectrice du sāsana fournit un répertoire de légitimité que la politique moderne peut réinvestir.</w:t>
      </w:r>
    </w:p>
    <w:p>
      <w:pPr>
        <w:pStyle w:val="Heading3"/>
      </w:pPr>
      <w:r>
        <w:rPr>
          <w:rFonts w:ascii="Calibri" w:hAnsi="Calibri"/>
        </w:rPr>
        <w:t>le Sri Lanka devient un État postcolonial plus souverain, mais plus contesté intérieurement</w:t>
      </w:r>
    </w:p>
    <w:p>
      <w:r>
        <w:rPr>
          <w:rFonts w:ascii="Calibri" w:hAnsi="Calibri"/>
        </w:rPr>
        <w:t>L'autonomie externe progresse au moment où la définition interne de la nation devient plus disputée. C'est un paradoxe fréquent : la décolonisation internationale ne garantit pas l'inclusion constitutionnelle de toutes les composantes domestiques.</w:t>
      </w:r>
    </w:p>
    <w:p>
      <w:r>
        <w:rPr>
          <w:rFonts w:ascii="Calibri" w:hAnsi="Calibri"/>
          <w:b/>
        </w:rPr>
        <w:t>Ce qui rend l'optimum obsolète :</w:t>
      </w:r>
      <w:r>
        <w:rPr>
          <w:rFonts w:ascii="Calibri" w:hAnsi="Calibri"/>
        </w:rPr>
        <w:t xml:space="preserve"> le modèle d'économie dirigée et de redistribution rencontre des contraintes de croissance et d'emploi ; les conflits de représentation se durcissent ; la majorité électorale permet une refonte institutionnelle très profonde.</w:t>
      </w:r>
    </w:p>
    <w:p>
      <w:r>
        <w:rPr>
          <w:rFonts w:ascii="Calibri" w:hAnsi="Calibri"/>
          <w:b/>
        </w:rPr>
        <w:t>Passage vers le chapitre 3 :</w:t>
      </w:r>
      <w:r>
        <w:rPr>
          <w:rFonts w:ascii="Calibri" w:hAnsi="Calibri"/>
        </w:rPr>
        <w:t xml:space="preserve"> la crise économique et politique prépare le renversement de 1977 : libéralisation économique + concentration constitutionnelle du pouvoir.</w:t>
      </w:r>
    </w:p>
    <w:p>
      <w:pPr>
        <w:pStyle w:val="Heading1"/>
        <w:pageBreakBefore/>
      </w:pPr>
      <w:r>
        <w:rPr>
          <w:rFonts w:ascii="Calibri" w:hAnsi="Calibri"/>
        </w:rPr>
        <w:t>Chapitre 3 — 1972-1983 : république, ouverture économique et hyperprésidence</w:t>
      </w:r>
    </w:p>
    <w:p>
      <w:r>
        <w:rPr>
          <w:rFonts w:ascii="Calibri" w:hAnsi="Calibri"/>
          <w:b/>
        </w:rPr>
        <w:t>Question causale : pourquoi l'État libéralise-t-il l'économie au moment même où il concentre le pouvoir politique ?</w:t>
      </w:r>
    </w:p>
    <w:p>
      <w:r>
        <w:rPr>
          <w:rFonts w:ascii="Calibri" w:hAnsi="Calibri"/>
        </w:rPr>
        <w:t>La victoire écrasante de l'UNP en 1977 ouvre un double changement. Économiquement, Sri Lanka rompt avec une grande partie de l'économie administrée et se tourne vers le marché, l'investissement et l'export. Politiquement, la Constitution de 1978 crée une présidence exécutive extrêmement forte. Ces deux mouvements ne sont pas contradictoires : un exécutif concentré est vu comme un moyen d'imposer rapidement la transformation économique. Dans le même temps, les demandes tamoules passent de l'autonomie à la séparation, et la violence politique augmente. Black July en 1983 constitue la rupture qui transforme un conflit politique et militant en guerre civile de longue durée.</w:t>
      </w:r>
    </w:p>
    <w:p>
      <w:pPr>
        <w:pStyle w:val="Heading2"/>
      </w:pPr>
      <w:r>
        <w:rPr>
          <w:rFonts w:ascii="Calibri" w:hAnsi="Calibri"/>
        </w:rPr>
        <w:t>Approfondissement — Années 1970 : l'université transforme le capital scolaire en conflit distributif</w:t>
      </w:r>
    </w:p>
    <w:p>
      <w:r>
        <w:rPr>
          <w:rFonts w:ascii="Calibri" w:hAnsi="Calibri"/>
        </w:rPr>
        <w:t>La standardisation cherche à corriger des écarts géographiques d'accès à l'université. Elle profite à des districts jusque-là défavorisés, mais frappe particulièrement Jaffna, historiquement spécialisé dans les études supérieures et les postes bureaucratiques [CAMBRIDGE-STANDARDIZATION].</w:t>
      </w:r>
    </w:p>
    <w:p>
      <w:r>
        <w:rPr>
          <w:rFonts w:ascii="Calibri" w:hAnsi="Calibri"/>
        </w:rPr>
        <w:t>La séquence perçue par de nombreuses familles devient cumulative :</w:t>
      </w:r>
    </w:p>
    <w:p>
      <w:pPr>
        <w:pStyle w:val="CausalCallout"/>
      </w:pPr>
      <w:r>
        <w:rPr>
          <w:rFonts w:ascii="Calibri" w:hAnsi="Calibri"/>
        </w:rPr>
        <w:t>capital scolaire hérité → valeur moindre de l'anglais dans l'État → nouvelles barrières linguistiques → règles universitaires moins favorables → sentiment de déclassement collectif.</w:t>
      </w:r>
    </w:p>
    <w:p>
      <w:r>
        <w:rPr>
          <w:rFonts w:ascii="Calibri" w:hAnsi="Calibri"/>
        </w:rPr>
        <w:t>Ces éléments n'expliquent pas seuls la guerre ; ils prennent sens avec citoyenneté, constitution, violences, échec des compromis et militarisation.</w:t>
      </w:r>
    </w:p>
    <w:p>
      <w:pPr>
        <w:pStyle w:val="Heading2"/>
      </w:pPr>
      <w:r>
        <w:rPr>
          <w:rFonts w:ascii="Calibri" w:hAnsi="Calibri"/>
        </w:rPr>
        <w:t>Approfondissement — Tamil Nadu : une autre technologie de mobilité</w:t>
      </w:r>
    </w:p>
    <w:p>
      <w:r>
        <w:rPr>
          <w:rFonts w:ascii="Calibri" w:hAnsi="Calibri"/>
        </w:rPr>
        <w:t xml:space="preserve">Le bon comparateur n'est pas « l'Inde » en bloc mais le Tamil Nadu, et seulement sur des mécanismes bornés. Le mouvement non-brahmane, Periyar, le </w:t>
      </w:r>
      <w:r>
        <w:rPr>
          <w:rFonts w:ascii="Calibri" w:hAnsi="Calibri"/>
          <w:i/>
        </w:rPr>
        <w:t>Self-Respect Movement</w:t>
      </w:r>
      <w:r>
        <w:rPr>
          <w:rFonts w:ascii="Calibri" w:hAnsi="Calibri"/>
        </w:rPr>
        <w:t xml:space="preserve"> puis les gouvernements dravidiens construisent une politique où l'identité régionale sert largement à contester des hiérarchies internes de statut. À Jaffna, l'identité tamoule se transforme davantage en défense contre une majorité ethnolinguistique extérieure.</w:t>
      </w:r>
    </w:p>
    <w:p>
      <w:r>
        <w:rPr>
          <w:rFonts w:ascii="Calibri" w:hAnsi="Calibri"/>
        </w:rPr>
        <w:t xml:space="preserve">Le </w:t>
      </w:r>
      <w:r>
        <w:rPr>
          <w:rFonts w:ascii="Calibri" w:hAnsi="Calibri"/>
          <w:i/>
        </w:rPr>
        <w:t>Dravidian Model</w:t>
      </w:r>
      <w:r>
        <w:rPr>
          <w:rFonts w:ascii="Calibri" w:hAnsi="Calibri"/>
        </w:rPr>
        <w:t xml:space="preserve"> relie mobilisation sociale, accès à l'éducation, welfare et modernisation inclusive [CAMBRIDGE-DRAVIDIAN-MODEL ; CAMBRIDGE-DRAVIDIAN-EDUCATION]. L'architecture contemporaine des réservations atteint 69 % des places/postes couverts par la politique de l'État [TN-RESERVATION-OFFICIAL].</w:t>
      </w:r>
    </w:p>
    <w:p>
      <w:r>
        <w:rPr>
          <w:rFonts w:ascii="Calibri" w:hAnsi="Calibri"/>
        </w:rPr>
        <w:t xml:space="preserve">La comparaison ajoute une correction centrale : </w:t>
      </w:r>
      <w:r>
        <w:rPr>
          <w:rFonts w:ascii="Calibri" w:hAnsi="Calibri"/>
          <w:b/>
        </w:rPr>
        <w:t>les quotas ne sont pas une explication économique suffisante</w:t>
      </w:r>
      <w:r>
        <w:rPr>
          <w:rFonts w:ascii="Calibri" w:hAnsi="Calibri"/>
        </w:rPr>
        <w:t>. Les travaux sur le Tamil Nadu insistent aussi sur la diversification hors des relations rurales liées à la caste, l'infrastructure, les politiques sociales et l'élargissement de l'accès à l'accumulation [CAMBRIDGE-DRAVIDIAN-RURAL ; CAMBRIDGE-DRAVIDIAN-CAPITAL]. Le World Bank state brief confirme une trajectoire de croissance et de sortie de l'agriculture relativement forte tout en relevant des écarts persistants entre groupes sociaux [WORLD-BANK-TN-BRIEF].</w:t>
      </w:r>
    </w:p>
    <w:p>
      <w:r>
        <w:rPr>
          <w:rFonts w:ascii="Calibri" w:hAnsi="Calibri"/>
        </w:rPr>
        <w:t xml:space="preserve">Le résultat n'est donc pas « caste abolie », mais </w:t>
      </w:r>
      <w:r>
        <w:rPr>
          <w:rFonts w:ascii="Calibri" w:hAnsi="Calibri"/>
          <w:b/>
        </w:rPr>
        <w:t>mobilité élargie malgré la persistance de réseaux et d'inégalités de caste</w:t>
      </w:r>
      <w:r>
        <w:rPr>
          <w:rFonts w:ascii="Calibri" w:hAnsi="Calibri"/>
        </w:rPr>
        <w:t xml:space="preserve"> [CAMBRIDGE-CASTE-ENTREPRENEURSHIP].</w:t>
      </w:r>
    </w:p>
    <w:p>
      <w:pPr>
        <w:pStyle w:val="Heading2"/>
      </w:pPr>
      <w:r>
        <w:rPr>
          <w:rFonts w:ascii="Calibri" w:hAnsi="Calibri"/>
        </w:rPr>
        <w:t>Approfondissement — Gandhi, Ambedkar, Nehru : ne pas réduire l'Inde à un seul récit réformateur</w:t>
      </w:r>
    </w:p>
    <w:p>
      <w:r>
        <w:rPr>
          <w:rFonts w:ascii="Calibri" w:hAnsi="Calibri"/>
        </w:rPr>
        <w:t>Le comparateur indien doit également être décentré. Ambedkar est central pour la représentation des groupes historiquement intouchables ; le Poona Pact de 1932 avec Gandhi porte précisément sur les sièges réservés et les modalités de représentation dalit [CAMBRIDGE-POONA-PACT]. Le Tamil Nadu suit parallèlement sa généalogie propre — Justice Party, Periyar, mouvement dravidien — qui ne se réduit pas au Congrès national.</w:t>
      </w:r>
    </w:p>
    <w:p>
      <w:r>
        <w:rPr>
          <w:rFonts w:ascii="Calibri" w:hAnsi="Calibri"/>
        </w:rPr>
        <w:t xml:space="preserve">Cette distinction est essentielle : l'Inde moderne combine </w:t>
      </w:r>
      <w:r>
        <w:rPr>
          <w:rFonts w:ascii="Calibri" w:hAnsi="Calibri"/>
          <w:b/>
        </w:rPr>
        <w:t>plusieurs technologies de redistribution</w:t>
      </w:r>
      <w:r>
        <w:rPr>
          <w:rFonts w:ascii="Calibri" w:hAnsi="Calibri"/>
        </w:rPr>
        <w:t xml:space="preserve"> plutôt qu'une réforme unique des castes.</w:t>
      </w:r>
    </w:p>
    <w:p>
      <w:pPr>
        <w:pStyle w:val="Heading3"/>
      </w:pPr>
      <w:r>
        <w:rPr>
          <w:rFonts w:ascii="Calibri" w:hAnsi="Calibri"/>
        </w:rPr>
        <w:t>1977 et le changement de régime économique</w:t>
      </w:r>
    </w:p>
    <w:p>
      <w:r>
        <w:rPr>
          <w:rFonts w:ascii="Calibri" w:hAnsi="Calibri"/>
        </w:rPr>
        <w:t>Sri Lanka devient un précurseur de la libéralisation en Asie du Sud. L'ouverture crée zones franches, nouveaux investissements et un autre rapport aux marchés mondiaux. Le vieux contrat social ne disparaît pas, mais il se combine désormais à une économie plus ouverte.</w:t>
      </w:r>
    </w:p>
    <w:p>
      <w:r>
        <w:rPr>
          <w:rFonts w:ascii="Calibri" w:hAnsi="Calibri"/>
        </w:rPr>
        <w:t>Cette transformation reconfigure la géographie : Colombo et l'ouest sont mieux placés pour capter capitaux, services et emplois industriels ; les écarts territoriaux acquièrent une nouvelle dimension. Le port, l'aéroport et les corridors de l'ouest deviennent des infrastructures de croissance au même titre que les anciens systèmes agricoles.</w:t>
      </w:r>
    </w:p>
    <w:p>
      <w:pPr>
        <w:pStyle w:val="Heading3"/>
      </w:pPr>
      <w:r>
        <w:rPr>
          <w:rFonts w:ascii="Calibri" w:hAnsi="Calibri"/>
        </w:rPr>
        <w:t>la présidence exécutive comme technologie de transformation</w:t>
      </w:r>
    </w:p>
    <w:p>
      <w:r>
        <w:rPr>
          <w:rFonts w:ascii="Calibri" w:hAnsi="Calibri"/>
        </w:rPr>
        <w:t xml:space="preserve">La Constitution de 1978 remplace le système parlementaire classique par une présidence exécutive puissante. Elle conserve également la place privilégiée du Buddha Sāsana. Le point causal est l'assemblage : </w:t>
      </w:r>
      <w:r>
        <w:rPr>
          <w:rFonts w:ascii="Calibri" w:hAnsi="Calibri"/>
          <w:b/>
        </w:rPr>
        <w:t>marché plus ouvert + exécutif plus concentré</w:t>
      </w:r>
      <w:r>
        <w:rPr>
          <w:rFonts w:ascii="Calibri" w:hAnsi="Calibri"/>
        </w:rPr>
        <w:t>.</w:t>
      </w:r>
    </w:p>
    <w:p>
      <w:r>
        <w:rPr>
          <w:rFonts w:ascii="Calibri" w:hAnsi="Calibri"/>
        </w:rPr>
        <w:t>Cette architecture augmente la capacité de décision au sommet mais amplifie le coût des erreurs et des conflits sur la neutralité de l'État. Le problème de succession médiévale devient, dans le langage moderne, un problème de checks and balances et de personnalisation du pouvoir.</w:t>
      </w:r>
    </w:p>
    <w:p>
      <w:pPr>
        <w:pStyle w:val="Heading3"/>
      </w:pPr>
      <w:r>
        <w:rPr>
          <w:rFonts w:ascii="Calibri" w:hAnsi="Calibri"/>
        </w:rPr>
        <w:t>nationalismes concurrents et militarisation</w:t>
      </w:r>
    </w:p>
    <w:p>
      <w:r>
        <w:rPr>
          <w:rFonts w:ascii="Calibri" w:hAnsi="Calibri"/>
        </w:rPr>
        <w:t>Au Nord et à l'Est, la frustration politique et la radicalisation militante augmentent. Le TULF porte un programme séparatiste dans l'arène électorale tandis que des groupes armés, dont le LTTE, gagnent en importance. L'État répond aussi par la coercition. Le cercle devient auto-renforçant : violence militante -\&gt; sécurité renforcée -\&gt; expérience de discrimination/répression -\&gt; recrutement militant.</w:t>
      </w:r>
    </w:p>
    <w:p>
      <w:pPr>
        <w:pStyle w:val="Heading3"/>
      </w:pPr>
      <w:r>
        <w:rPr>
          <w:rFonts w:ascii="Calibri" w:hAnsi="Calibri"/>
        </w:rPr>
        <w:t>1983 — Black July comme rupture de confiance</w:t>
      </w:r>
    </w:p>
    <w:p>
      <w:r>
        <w:rPr>
          <w:rFonts w:ascii="Calibri" w:hAnsi="Calibri"/>
        </w:rPr>
        <w:t>Les pogroms anti-tamouls de juillet 1983 après une attaque du LTTE ne sont pas l'origine unique du conflit, mais constituent un seuil. Ils accélèrent l'émigration, la formation d'une diaspora, le financement des groupes armés et la conviction que la protection au sein de l'État unitaire est devenue improbable pour une partie des Tamouls.</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FF6D8"/>
            <w:tcBorders>
              <w:top w:val="single" w:sz="6" w:color="D6B656" w:space="0"/>
              <w:bottom w:val="single" w:sz="6" w:color="D6B656" w:space="0"/>
              <w:left w:val="single" w:sz="18" w:color="D6B656" w:space="0"/>
              <w:right w:val="single" w:sz="6" w:color="D6B656" w:space="0"/>
            </w:tcBorders>
          </w:tcPr>
          <w:p>
            <w:pPr>
              <w:keepNext/>
              <w:spacing w:after="80"/>
            </w:pPr>
            <w:r/>
            <w:r>
              <w:rPr>
                <w:rFonts w:ascii="Calibri" w:hAnsi="Calibri"/>
              </w:rPr>
              <w:t>FAUSSE PISTE — « LA GUERRE COMMENCE À CAUSE DE SINHALA ONLY »</w:t>
            </w:r>
          </w:p>
          <w:p>
            <w:pPr>
              <w:spacing w:after="80"/>
            </w:pPr>
            <w:r>
              <w:rPr>
                <w:rFonts w:ascii="Calibri" w:hAnsi="Calibri"/>
              </w:rPr>
              <w:t>1956 est une ancre importante, mais la guerre résulte d'une chaîne : institutions linguistiques, échec de compromis, changements constitutionnels, discrimination réelle ou perçue, compétition électorale, militantisme, coercition et chocs de violence. Une cause unique efface trente ans de mécanismes.</w:t>
            </w:r>
          </w:p>
        </w:tc>
      </w:tr>
    </w:tbl>
    <w:p>
      <w:pPr>
        <w:spacing w:after="20"/>
      </w:pPr>
    </w:p>
    <w:p>
      <w:r>
        <w:rPr>
          <w:rFonts w:ascii="Calibri" w:hAnsi="Calibri"/>
          <w:b/>
        </w:rPr>
        <w:t>Ce qui rend l'optimum obsolète :</w:t>
      </w:r>
      <w:r>
        <w:rPr>
          <w:rFonts w:ascii="Calibri" w:hAnsi="Calibri"/>
        </w:rPr>
        <w:t xml:space="preserve"> l'État unitaire centralisé ne parvient plus à absorber le conflit territorial ; la souveraineté devient militairement contestée.</w:t>
      </w:r>
    </w:p>
    <w:p>
      <w:r>
        <w:rPr>
          <w:rFonts w:ascii="Calibri" w:hAnsi="Calibri"/>
          <w:b/>
        </w:rPr>
        <w:t>Passage vers le chapitre 4 :</w:t>
      </w:r>
      <w:r>
        <w:rPr>
          <w:rFonts w:ascii="Calibri" w:hAnsi="Calibri"/>
        </w:rPr>
        <w:t xml:space="preserve"> l'Inde cesse progressivement d'être seulement un voisin et devient médiateur puis acteur militaire direct.</w:t>
      </w:r>
    </w:p>
    <w:p>
      <w:pPr>
        <w:pStyle w:val="Heading1"/>
        <w:pageBreakBefore/>
      </w:pPr>
      <w:r>
        <w:rPr>
          <w:rFonts w:ascii="Calibri" w:hAnsi="Calibri"/>
        </w:rPr>
        <w:t>Chapitre 4 — 1983-2002 : guerres imbriquées, dévolution incomplète et souveraineté disputée</w:t>
      </w:r>
    </w:p>
    <w:p>
      <w:r>
        <w:rPr>
          <w:rFonts w:ascii="Calibri" w:hAnsi="Calibri"/>
          <w:b/>
        </w:rPr>
        <w:t>Question causale : comment un État qui conserve sa reconnaissance internationale peut-il perdre le monopole territorial de la coercition sur une partie de son propre espace ?</w:t>
      </w:r>
    </w:p>
    <w:p>
      <w:r>
        <w:rPr>
          <w:rFonts w:ascii="Calibri" w:hAnsi="Calibri"/>
        </w:rPr>
        <w:t>De 1983 au cessez-le-feu de 2002, Sri Lanka connaît plusieurs guerres superposées : conflit avec le LTTE au Nord-Est, intervention indienne et IPKF, puis seconde insurrection JVP dans le Sud en 1987-1989. L'Indo-Lanka Accord et le 13e amendement créent les Provincial Councils et une architecture de dévolution, mais n'éteignent pas la revendication séparatiste. Le conflit produit un espace politique fragmenté : zones gouvernementales, zones insurgées, villes sécurisées, diaspora transnationale, économie de guerre et intervention de puissances extérieures.</w:t>
      </w:r>
    </w:p>
    <w:p>
      <w:pPr>
        <w:pStyle w:val="Heading2"/>
      </w:pPr>
      <w:r>
        <w:rPr>
          <w:rFonts w:ascii="Calibri" w:hAnsi="Calibri"/>
        </w:rPr>
        <w:t>Approfondissement — Guerre civile : discipliner les hiérarchies sans les abolir</w:t>
      </w:r>
    </w:p>
    <w:p>
      <w:r>
        <w:rPr>
          <w:rFonts w:ascii="Calibri" w:hAnsi="Calibri"/>
        </w:rPr>
        <w:t>Le LTTE fournit un test rare. Dans certains espaces, le mouvement cherche à réduire des droits de temple ou des autorités organisées par caste/kudi ; ces institutions possèdent cependant leurs propres ressources de légitimité et peuvent résister [CAMBRIDGE-LTTE-PUBLIC-AUTHORITY].</w:t>
      </w:r>
    </w:p>
    <w:p>
      <w:r>
        <w:rPr>
          <w:rFonts w:ascii="Calibri" w:hAnsi="Calibri"/>
        </w:rPr>
        <w:t>Un mouvement insurgé centralisé peut donc diminuer la visibilité politique de la caste sans supprimer parenté, temple, propriété, mariage ou réseaux. La guerre reconfigure les cleavages ; elle ne crée pas automatiquement une société sans hiérarchie.</w:t>
      </w:r>
    </w:p>
    <w:p>
      <w:pPr>
        <w:pStyle w:val="Heading2"/>
      </w:pPr>
      <w:r>
        <w:rPr>
          <w:rFonts w:ascii="Calibri" w:hAnsi="Calibri"/>
        </w:rPr>
        <w:t>Approfondissement — Mariage et diaspora : reproduction sociale n'est pas coercition</w:t>
      </w:r>
    </w:p>
    <w:p>
      <w:r>
        <w:rPr>
          <w:rFonts w:ascii="Calibri" w:hAnsi="Calibri"/>
        </w:rPr>
        <w:t xml:space="preserve">Le mariage relie caste, propriété, parenté, migration et diaspora. Mais </w:t>
      </w:r>
      <w:r>
        <w:rPr>
          <w:rFonts w:ascii="Calibri" w:hAnsi="Calibri"/>
          <w:b/>
        </w:rPr>
        <w:t>mariage arrangé ≠ mariage forcé ≠ endogamie de caste</w:t>
      </w:r>
      <w:r>
        <w:rPr>
          <w:rFonts w:ascii="Calibri" w:hAnsi="Calibri"/>
        </w:rPr>
        <w:t>. Les mariages transnationaux tamouls montrent surtout comment guerre et migration transforment le mariage en dispositif de reconstruction familiale, mobilité et circulation internationale [JSTOR-TAMIL-MARRIAGE-2019]. La guerre modifie aussi dot, héritage et propriété [CAMBRIDGE-THIRANAGAMA-REVIEW].</w:t>
      </w:r>
    </w:p>
    <w:p>
      <w:r>
        <w:rPr>
          <w:rFonts w:ascii="Calibri" w:hAnsi="Calibri"/>
        </w:rPr>
        <w:t>La question solide devient : comment une population dispersée reproduit-elle sécurité, statut, propriété et réseau à travers plusieurs pays ? Nous n'avons toujours pas de métrique permettant d'affirmer que Jaffna serait aujourd'hui « plus castéiste » ou « plus endogame » que le Tamil Nadu.</w:t>
      </w:r>
    </w:p>
    <w:p>
      <w:pPr>
        <w:pStyle w:val="Heading3"/>
      </w:pPr>
      <w:r>
        <w:rPr>
          <w:rFonts w:ascii="Calibri" w:hAnsi="Calibri"/>
        </w:rPr>
        <w:t>l'Inde devient acteur du système intérieur</w:t>
      </w:r>
    </w:p>
    <w:p>
      <w:r>
        <w:rPr>
          <w:rFonts w:ascii="Calibri" w:hAnsi="Calibri"/>
        </w:rPr>
        <w:t>La géographie ancienne revient sous une forme moderne : le détroit de Palk rend impossible une séparation nette entre conflit sri-lankais et Tamil Nadu. L'Inde soutient d'abord certains militants, puis cherche à imposer une solution et déploie l'Indian Peace Keeping Force après l'accord de 1987. Le 13e amendement et les conseils provinciaux matérialisent cette pression régionale dans l'architecture constitutionnelle sri-lankaise.</w:t>
      </w:r>
    </w:p>
    <w:p>
      <w:r>
        <w:rPr>
          <w:rFonts w:ascii="Calibri" w:hAnsi="Calibri"/>
        </w:rPr>
        <w:t>Le résultat est paradoxal : la dévolution est institutionnalisée, mais suffisamment contestée ou incomplète pour ne pas devenir le compromis final. La structure subsiste jusqu'à aujourd'hui comme trace constitutionnelle d'une tentative de bridge entre État unitaire et autonomie territoriale.</w:t>
      </w:r>
    </w:p>
    <w:p>
      <w:pPr>
        <w:pStyle w:val="Heading3"/>
      </w:pPr>
      <w:r>
        <w:rPr>
          <w:rFonts w:ascii="Calibri" w:hAnsi="Calibri"/>
        </w:rPr>
        <w:t>deux guerres sur deux géographies</w:t>
      </w:r>
    </w:p>
    <w:p>
      <w:r>
        <w:rPr>
          <w:rFonts w:ascii="Calibri" w:hAnsi="Calibri"/>
        </w:rPr>
        <w:t>La seconde insurrection JVP (1987-1989) montre qu'au même moment l'État combat aussi une insurrection majoritairement cinghalaise dans le Sud. La violence de l'insurrection et de la contre-insurrection fait du territoire national un ensemble de régimes de sécurité différenciés.</w:t>
      </w:r>
    </w:p>
    <w:p>
      <w:r>
        <w:rPr>
          <w:rFonts w:ascii="Calibri" w:hAnsi="Calibri"/>
        </w:rPr>
        <w:t>Leçon de méthode : « guerre civile sri-lankaise » au singulier écrase une pluralité de conflits. Les acteurs, leurs revendications, leurs espaces et leurs rapports à l'Inde diffèrent.</w:t>
      </w:r>
    </w:p>
    <w:p>
      <w:pPr>
        <w:pStyle w:val="Heading3"/>
      </w:pPr>
      <w:r>
        <w:rPr>
          <w:rFonts w:ascii="Calibri" w:hAnsi="Calibri"/>
        </w:rPr>
        <w:t>diaspora, remittances et économie sous contrainte</w:t>
      </w:r>
    </w:p>
    <w:p>
      <w:r>
        <w:rPr>
          <w:rFonts w:ascii="Calibri" w:hAnsi="Calibri"/>
        </w:rPr>
        <w:t>La guerre ne ferme pas complètement l'économie. Exportations textiles, migration de travail au Moyen-Orient et remittances deviennent structurelles. La diaspora tamoule acquiert simultanément une fonction économique, humanitaire, politique et parfois financière pour l'insurrection. L'extérieur n'est plus seulement un marché ; il devient partie intégrante de la capacité des acteurs domestiques.</w:t>
      </w:r>
    </w:p>
    <w:p>
      <w:pPr>
        <w:pStyle w:val="Heading3"/>
      </w:pPr>
      <w:r>
        <w:rPr>
          <w:rFonts w:ascii="Calibri" w:hAnsi="Calibri"/>
        </w:rPr>
        <w:t>l'État reste institutionnellement continu</w:t>
      </w:r>
    </w:p>
    <w:p>
      <w:r>
        <w:rPr>
          <w:rFonts w:ascii="Calibri" w:hAnsi="Calibri"/>
        </w:rPr>
        <w:t xml:space="preserve">Malgré guerre, assassinats politiques et alternances, les élections, le Parlement et l'administration ne disparaissent pas. C'est une différence importante avec un scénario d'effondrement étatique. L'État est </w:t>
      </w:r>
      <w:r>
        <w:rPr>
          <w:rFonts w:ascii="Calibri" w:hAnsi="Calibri"/>
          <w:b/>
        </w:rPr>
        <w:t>militairement contesté mais bureaucratiquement persistant</w:t>
      </w:r>
      <w:r>
        <w:rPr>
          <w:rFonts w:ascii="Calibri" w:hAnsi="Calibri"/>
        </w:rPr>
        <w:t>.</w:t>
      </w:r>
    </w:p>
    <w:p>
      <w:pPr>
        <w:pStyle w:val="Heading3"/>
      </w:pPr>
      <w:r>
        <w:rPr>
          <w:rFonts w:ascii="Calibri" w:hAnsi="Calibri"/>
        </w:rPr>
        <w:t>Colombo, Jaffna, Eastern Province</w:t>
      </w:r>
    </w:p>
    <w:p>
      <w:pPr>
        <w:pStyle w:val="ListBullet"/>
      </w:pPr>
      <w:r>
        <w:rPr>
          <w:rFonts w:ascii="Calibri" w:hAnsi="Calibri"/>
          <w:b/>
        </w:rPr>
        <w:t>Colombo</w:t>
      </w:r>
      <w:r>
        <w:rPr>
          <w:rFonts w:ascii="Calibri" w:hAnsi="Calibri"/>
        </w:rPr>
        <w:t xml:space="preserve"> : capitale politique, économique et cible d'attentats ; sécurité et marché se superposent.</w:t>
      </w:r>
    </w:p>
    <w:p>
      <w:pPr>
        <w:pStyle w:val="ListBullet"/>
      </w:pPr>
      <w:r>
        <w:rPr>
          <w:rFonts w:ascii="Calibri" w:hAnsi="Calibri"/>
          <w:b/>
        </w:rPr>
        <w:t>Jaffna/Nord</w:t>
      </w:r>
      <w:r>
        <w:rPr>
          <w:rFonts w:ascii="Calibri" w:hAnsi="Calibri"/>
        </w:rPr>
        <w:t xml:space="preserve"> : centre symbolique et opérationnel de la revendication tamoule, soumis à des alternances de contrôle.</w:t>
      </w:r>
    </w:p>
    <w:p>
      <w:pPr>
        <w:pStyle w:val="ListBullet"/>
      </w:pPr>
      <w:r>
        <w:rPr>
          <w:rFonts w:ascii="Calibri" w:hAnsi="Calibri"/>
          <w:b/>
        </w:rPr>
        <w:t>Est</w:t>
      </w:r>
      <w:r>
        <w:rPr>
          <w:rFonts w:ascii="Calibri" w:hAnsi="Calibri"/>
        </w:rPr>
        <w:t xml:space="preserve"> : espace plus multiethnique où les logiques territoriales sont moins binaires et où la question de l'autonomie Nord-Est est particulièrement disputée.</w:t>
      </w:r>
    </w:p>
    <w:p>
      <w:r>
        <w:rPr>
          <w:rFonts w:ascii="Calibri" w:hAnsi="Calibri"/>
          <w:b/>
        </w:rPr>
        <w:t>Ce qui rend l'optimum obsolète :</w:t>
      </w:r>
      <w:r>
        <w:rPr>
          <w:rFonts w:ascii="Calibri" w:hAnsi="Calibri"/>
        </w:rPr>
        <w:t xml:space="preserve"> aucun camp ne parvient à imposer une victoire décisive ; les coûts militaires et humains créent une fenêtre pour la médiation internationale.</w:t>
      </w:r>
    </w:p>
    <w:p>
      <w:r>
        <w:rPr>
          <w:rFonts w:ascii="Calibri" w:hAnsi="Calibri"/>
          <w:b/>
        </w:rPr>
        <w:t>Passage vers le chapitre 5 :</w:t>
      </w:r>
      <w:r>
        <w:rPr>
          <w:rFonts w:ascii="Calibri" w:hAnsi="Calibri"/>
        </w:rPr>
        <w:t xml:space="preserve"> le cessez-le-feu de 2002 transforme une guerre de contrôle territorial en expérience temporaire de souveraineté duale négociée.</w:t>
      </w:r>
    </w:p>
    <w:p>
      <w:pPr>
        <w:pStyle w:val="Heading1"/>
        <w:pageBreakBefore/>
      </w:pPr>
      <w:r>
        <w:rPr>
          <w:rFonts w:ascii="Calibri" w:hAnsi="Calibri"/>
        </w:rPr>
        <w:t>Chapitre 5 — 2002-2009 : paix négociée, souveraineté duale puis victoire militaire</w:t>
      </w:r>
    </w:p>
    <w:p>
      <w:r>
        <w:rPr>
          <w:rFonts w:ascii="Calibri" w:hAnsi="Calibri"/>
          <w:b/>
        </w:rPr>
        <w:t>Question causale : pourquoi un cessez-le-feu internationalisé ne produit-il pas de compromis durable, puis laisse-t-il place à une stratégie de victoire militaire ?</w:t>
      </w:r>
    </w:p>
    <w:p>
      <w:r>
        <w:rPr>
          <w:rFonts w:ascii="Calibri" w:hAnsi="Calibri"/>
        </w:rPr>
        <w:t>Le cessez-le-feu de 2002, facilité par la Norvège, gèle en partie l'équilibre militaire et formalise de facto deux espaces de souveraineté. Cette architecture réduit la violence ouverte mais ne résout ni la question territoriale, ni le désarmement, ni la confiance. Le tsunami de 2004, les transformations internes du LTTE et les changements de coalition à Colombo modifient l'équilibre. À partir de 2006, la guerre reprend à grande échelle ; en mai 2009, l'État défait militairement le LTTE. L'État retrouve le contrôle territorial, mais la victoire ne résout pas automatiquement la question constitutionnelle ni les demandes de justice et de mémoire.</w:t>
      </w:r>
    </w:p>
    <w:p>
      <w:pPr>
        <w:pStyle w:val="Heading3"/>
      </w:pPr>
      <w:r>
        <w:rPr>
          <w:rFonts w:ascii="Calibri" w:hAnsi="Calibri"/>
        </w:rPr>
        <w:t>cessez-le-feu et dualité de souveraineté</w:t>
      </w:r>
    </w:p>
    <w:p>
      <w:r>
        <w:rPr>
          <w:rFonts w:ascii="Calibri" w:hAnsi="Calibri"/>
        </w:rPr>
        <w:t>La recherche sur le peace process décrit un système où le cessez-le-feu reconnaît implicitement le contrôle du LTTE sur certaines zones tout en maintenant la souveraineté internationale de l'État. C'est un cas très utile pour notre méthode : une frontière réelle de pouvoir peut exister sans frontière étatique reconnue.</w:t>
      </w:r>
    </w:p>
    <w:p>
      <w:r>
        <w:rPr>
          <w:rFonts w:ascii="Calibri" w:hAnsi="Calibri"/>
        </w:rPr>
        <w:t>Les institutions rebelles, taxation, police et administration créent une performance de souveraineté. Le problème de la négociation devient alors plus difficile : faut-il transformer cette capacité de fait en autonomie, la désarmer, ou la vaincre ?</w:t>
      </w:r>
    </w:p>
    <w:p>
      <w:pPr>
        <w:pStyle w:val="Heading3"/>
      </w:pPr>
      <w:r>
        <w:rPr>
          <w:rFonts w:ascii="Calibri" w:hAnsi="Calibri"/>
        </w:rPr>
        <w:t>internationalisation de la paix</w:t>
      </w:r>
    </w:p>
    <w:p>
      <w:r>
        <w:rPr>
          <w:rFonts w:ascii="Calibri" w:hAnsi="Calibri"/>
        </w:rPr>
        <w:t>Norvège, bailleurs et acteurs internationaux participent au processus. L'Inde, marquée par l'expérience IPKF et l'assassinat de Rajiv Gandhi, reste centrale mais prudente. Le système international de l'après-11 septembre modifie aussi le statut et l'espace financier des mouvements armés.</w:t>
      </w:r>
    </w:p>
    <w:p>
      <w:pPr>
        <w:pStyle w:val="Heading3"/>
      </w:pPr>
      <w:r>
        <w:rPr>
          <w:rFonts w:ascii="Calibri" w:hAnsi="Calibri"/>
        </w:rPr>
        <w:t>pourquoi le militaire redevient dominant</w:t>
      </w:r>
    </w:p>
    <w:p>
      <w:r>
        <w:rPr>
          <w:rFonts w:ascii="Calibri" w:hAnsi="Calibri"/>
        </w:rPr>
        <w:t>La reprise de guerre n'est pas un simple « échec de la Norvège ». Elle résulte de la combinaison de méfiance, rivalité sur la souveraineté, dynamique électorale, scissions, changements militaires et conviction croissante du gouvernement qu'une victoire est possible.</w:t>
      </w:r>
    </w:p>
    <w:p>
      <w:pPr>
        <w:pStyle w:val="Heading3"/>
      </w:pPr>
      <w:r>
        <w:rPr>
          <w:rFonts w:ascii="Calibri" w:hAnsi="Calibri"/>
        </w:rPr>
        <w:t>2009 — réunification territoriale, problème politique non clos</w:t>
      </w:r>
    </w:p>
    <w:p>
      <w:r>
        <w:rPr>
          <w:rFonts w:ascii="Calibri" w:hAnsi="Calibri"/>
        </w:rPr>
        <w:t>La défaite du LTTE rétablit le monopole militaire de l'État sur l'île. C'est une rupture majeure, comparable dans notre longue durée à la récupération d'un territoire disputé. Mais une victoire militaire ne produit pas par elle-même une nouvelle coalition constitutionnelle. Les débats sur les pertes civiles, la responsabilité, les disparus, les détenus, la restitution des terres et la dévolution deviennent des composantes du post-conflit.</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0EDE7"/>
            <w:tcBorders>
              <w:top w:val="single" w:sz="6" w:color="A69A88" w:space="0"/>
              <w:bottom w:val="single" w:sz="6" w:color="A69A88" w:space="0"/>
              <w:left w:val="single" w:sz="18" w:color="A69A88" w:space="0"/>
              <w:right w:val="single" w:sz="6" w:color="A69A88" w:space="0"/>
            </w:tcBorders>
          </w:tcPr>
          <w:p>
            <w:pPr>
              <w:keepNext/>
              <w:spacing w:after="80"/>
            </w:pPr>
            <w:r/>
            <w:r>
              <w:rPr>
                <w:rFonts w:ascii="Calibri" w:hAnsi="Calibri"/>
              </w:rPr>
              <w:t>POINT DE MÉTHODE — VICTOIRE MILITAIRE ≠ RÉSOLUTION CAUSALE COMPLÈTE</w:t>
            </w:r>
          </w:p>
          <w:p>
            <w:pPr>
              <w:spacing w:after="80"/>
            </w:pPr>
            <w:r>
              <w:rPr>
                <w:rFonts w:ascii="Calibri" w:hAnsi="Calibri"/>
              </w:rPr>
              <w:t>Un conflit peut cesser comme système militaire et persister comme structure politique, démographique, mémorielle et territoriale. Il faut donc distinguer `war termination` et `conflict transformation`.</w:t>
            </w:r>
          </w:p>
        </w:tc>
      </w:tr>
    </w:tbl>
    <w:p>
      <w:pPr>
        <w:spacing w:after="20"/>
      </w:pPr>
    </w:p>
    <w:p>
      <w:r>
        <w:rPr>
          <w:rFonts w:ascii="Calibri" w:hAnsi="Calibri"/>
          <w:b/>
        </w:rPr>
        <w:t>Ce qui rend l'optimum obsolète :</w:t>
      </w:r>
      <w:r>
        <w:rPr>
          <w:rFonts w:ascii="Calibri" w:hAnsi="Calibri"/>
        </w:rPr>
        <w:t xml:space="preserve"> la politique n'est plus organisée autour de la survie militaire de l'État face au LTTE ; le gouvernement peut promettre développement, infrastructure et normalisation.</w:t>
      </w:r>
    </w:p>
    <w:p>
      <w:r>
        <w:rPr>
          <w:rFonts w:ascii="Calibri" w:hAnsi="Calibri"/>
          <w:b/>
        </w:rPr>
        <w:t>Passage vers le chapitre 6 :</w:t>
      </w:r>
      <w:r>
        <w:rPr>
          <w:rFonts w:ascii="Calibri" w:hAnsi="Calibri"/>
        </w:rPr>
        <w:t xml:space="preserve"> l'infrastructure devient un langage de réintégration nationale et un instrument de politique étrangère.</w:t>
      </w:r>
    </w:p>
    <w:p>
      <w:pPr>
        <w:pStyle w:val="Heading1"/>
        <w:pageBreakBefore/>
      </w:pPr>
      <w:r>
        <w:rPr>
          <w:rFonts w:ascii="Calibri" w:hAnsi="Calibri"/>
        </w:rPr>
        <w:t>Chapitre 6 — 2009-2019 : la paix par l'infrastructure, la centralisation et le nouveau pivot asiatique</w:t>
      </w:r>
    </w:p>
    <w:p>
      <w:r>
        <w:rPr>
          <w:rFonts w:ascii="Calibri" w:hAnsi="Calibri"/>
          <w:b/>
        </w:rPr>
        <w:t>Question causale : un État peut-il transformer une victoire militaire en intégration politique principalement par le développement matériel ?</w:t>
      </w:r>
    </w:p>
    <w:p>
      <w:r>
        <w:rPr>
          <w:rFonts w:ascii="Calibri" w:hAnsi="Calibri"/>
        </w:rPr>
        <w:t>Après 2009, le gouvernement investit massivement dans routes, ports, énergie et reconstruction. Dans le Nord et l'Est, infrastructures, agriculture et services reviennent ; dans le Sud et autour de Colombo, de grands projets reconfigurent les corridors économiques. La Chine prend une place croissante dans le financement et l'investissement, tandis que l'Inde demeure géographiquement incontournable. Le modèle renforce la capacité matérielle de l'État mais laisse ouvertes les questions de dévolution et de justice. L'alternance de 2015 montre une contestation de la concentration du pouvoir ; les attentats de Pâques 2019 déplacent brutalement le centre de gravité vers la sécurité.</w:t>
      </w:r>
    </w:p>
    <w:p>
      <w:pPr>
        <w:pStyle w:val="Heading2"/>
      </w:pPr>
      <w:r>
        <w:rPr>
          <w:rFonts w:ascii="Calibri" w:hAnsi="Calibri"/>
        </w:rPr>
        <w:t>Approfondissement — le véritable comparateur : comment convertir un capital humain en développement territorial ?</w:t>
      </w:r>
    </w:p>
    <w:p>
      <w:r>
        <w:rPr>
          <w:rFonts w:ascii="Calibri" w:hAnsi="Calibri"/>
        </w:rPr>
        <w:t xml:space="preserve">Le point décisif de cette passe est de séparer </w:t>
      </w:r>
      <w:r>
        <w:rPr>
          <w:rFonts w:ascii="Calibri" w:hAnsi="Calibri"/>
          <w:b/>
        </w:rPr>
        <w:t>capacité individuelle</w:t>
      </w:r>
      <w:r>
        <w:rPr>
          <w:rFonts w:ascii="Calibri" w:hAnsi="Calibri"/>
        </w:rPr>
        <w:t xml:space="preserve"> et </w:t>
      </w:r>
      <w:r>
        <w:rPr>
          <w:rFonts w:ascii="Calibri" w:hAnsi="Calibri"/>
          <w:b/>
        </w:rPr>
        <w:t>capture territoriale</w:t>
      </w:r>
      <w:r>
        <w:rPr>
          <w:rFonts w:ascii="Calibri" w:hAnsi="Calibri"/>
        </w:rPr>
        <w:t>. Une population éduquée ne crée pas automatiquement une économie locale dynamique. Il faut une chaîne :</w:t>
      </w:r>
    </w:p>
    <w:p>
      <w:pPr>
        <w:pStyle w:val="CausalCallout"/>
      </w:pPr>
      <w:r>
        <w:rPr>
          <w:rFonts w:ascii="Calibri" w:hAnsi="Calibri"/>
          <w:b/>
        </w:rPr>
        <w:t>éducation/compétences → gateways institutionnels → infrastructure/connectivité → organisations capables d'absorber les compétences → emplois/entreprises → fournisseurs/impôts/services → spillovers territoriaux.</w:t>
      </w:r>
    </w:p>
    <w:p>
      <w:pPr>
        <w:pStyle w:val="Heading3"/>
      </w:pPr>
      <w:r>
        <w:rPr>
          <w:rFonts w:ascii="Calibri" w:hAnsi="Calibri"/>
        </w:rPr>
        <w:t>Tamil Nadu : davantage de conversion sur place</w:t>
      </w:r>
    </w:p>
    <w:p>
      <w:r>
        <w:rPr>
          <w:rFonts w:ascii="Calibri" w:hAnsi="Calibri"/>
        </w:rPr>
        <w:t xml:space="preserve">Une combinaison d'accès éducatif élargi, politiques sociales, diversification rurale, infrastructures, agglomérations industrielles et appartenance au grand marché indien multiplie les lieux où convertir les compétences en emplois et capital [CAMBRIDGE-DRAVIDIAN-RURAL ; CAMBRIDGE-DRAVIDIAN-CAPITAL ; WORLD-BANK-TN-BRIEF]. Le mécanisme est un </w:t>
      </w:r>
      <w:r>
        <w:rPr>
          <w:rFonts w:ascii="Calibri" w:hAnsi="Calibri"/>
          <w:b/>
        </w:rPr>
        <w:t>package</w:t>
      </w:r>
      <w:r>
        <w:rPr>
          <w:rFonts w:ascii="Calibri" w:hAnsi="Calibri"/>
        </w:rPr>
        <w:t>, pas un bouton unique.</w:t>
      </w:r>
    </w:p>
    <w:p>
      <w:pPr>
        <w:pStyle w:val="Heading3"/>
      </w:pPr>
      <w:r>
        <w:rPr>
          <w:rFonts w:ascii="Calibri" w:hAnsi="Calibri"/>
        </w:rPr>
        <w:t>Jaffna : chaîne cassée, puis capital partiellement externalisé</w:t>
      </w:r>
    </w:p>
    <w:p>
      <w:r>
        <w:rPr>
          <w:rFonts w:ascii="Calibri" w:hAnsi="Calibri"/>
        </w:rPr>
        <w:t>Le capital humain n'a pas simplement disparu. Mais la péninsule et le Nord connaissent plusieurs décennies de guerre, déplacements, maintenance différée et incertitude. ADB documente la nécessité, après le conflit, de restaurer routes, électricité, eau, irrigation, services administratifs et connexions aux marchés [ADB-NORTHERN-ROADS ; ADB-CONFLICT-REGION].</w:t>
      </w:r>
    </w:p>
    <w:p>
      <w:r>
        <w:rPr>
          <w:rFonts w:ascii="Calibri" w:hAnsi="Calibri"/>
        </w:rPr>
        <w:t xml:space="preserve">Une partie des personnes et réseaux se recompose hors du territoire. Le concept utile est </w:t>
      </w:r>
      <w:r>
        <w:rPr>
          <w:rFonts w:ascii="Calibri" w:hAnsi="Calibri"/>
          <w:b/>
        </w:rPr>
        <w:t>externalisation partielle du capital humain</w:t>
      </w:r>
      <w:r>
        <w:rPr>
          <w:rFonts w:ascii="Calibri" w:hAnsi="Calibri"/>
        </w:rPr>
        <w:t xml:space="preserve"> : compétences et revenus peuvent survivre dans la diaspora tandis que les spillovers locaux — entreprises, emplois, fournisseurs, fiscalité et institutions connectées — sont plus faibles [JSTOR-TAMIL-MARRIAGE-2019 ; WORLD-BANK-REVIVE-2026].</w:t>
      </w:r>
    </w:p>
    <w:p>
      <w:r>
        <w:rPr>
          <w:rFonts w:ascii="Calibri" w:hAnsi="Calibri"/>
        </w:rPr>
        <w:t xml:space="preserve">Cela corrige le vocabulaire du « cycle manqué » : le problème n'est pas une incapacité culturelle à entrer dans la mondialisation, mais un </w:t>
      </w:r>
      <w:r>
        <w:rPr>
          <w:rFonts w:ascii="Calibri" w:hAnsi="Calibri"/>
          <w:b/>
        </w:rPr>
        <w:t>découplage entre capital humain et territoire d'origine</w:t>
      </w:r>
      <w:r>
        <w:rPr>
          <w:rFonts w:ascii="Calibri" w:hAnsi="Calibri"/>
        </w:rPr>
        <w:t>.</w:t>
      </w:r>
    </w:p>
    <w:p>
      <w:pPr>
        <w:pStyle w:val="Heading2"/>
      </w:pPr>
      <w:r>
        <w:rPr>
          <w:rFonts w:ascii="Calibri" w:hAnsi="Calibri"/>
        </w:rPr>
        <w:t>Approfondissement — Ce que la guerre change dans la comparaison</w:t>
      </w:r>
    </w:p>
    <w:p>
      <w:r>
        <w:rPr>
          <w:rFonts w:ascii="Calibri" w:hAnsi="Calibri"/>
        </w:rPr>
        <w:t>Comparer Jaffna au Tamil Nadu sans traiter la guerre comme confounder majeur rendrait toute conclusion sur caste, anglais ou politique sociale artificielle. Les canaux doivent être séparés : destruction, maintenance différée, déplacement, interruption scolaire/institutionnelle, accès aux terres et marchés, risque d'investissement, délocalisation des entreprises/professionnels, puis délai de reconstruction.</w:t>
      </w:r>
    </w:p>
    <w:p>
      <w:r>
        <w:rPr>
          <w:rFonts w:ascii="Calibri" w:hAnsi="Calibri"/>
        </w:rPr>
        <w:t xml:space="preserve">Le Tamil Nadu montre qu'une conversion territoriale large </w:t>
      </w:r>
      <w:r>
        <w:rPr>
          <w:rFonts w:ascii="Calibri" w:hAnsi="Calibri"/>
          <w:b/>
        </w:rPr>
        <w:t>était institutionnellement possible dans un autre environnement</w:t>
      </w:r>
      <w:r>
        <w:rPr>
          <w:rFonts w:ascii="Calibri" w:hAnsi="Calibri"/>
        </w:rPr>
        <w:t xml:space="preserve"> ; il ne permet pas de chiffrer ce que Jaffna serait devenue sans guerre.</w:t>
      </w:r>
    </w:p>
    <w:p>
      <w:r>
        <w:rPr>
          <w:rFonts w:ascii="Calibri" w:hAnsi="Calibri"/>
        </w:rPr>
        <w:t xml:space="preserve">Confidence : </w:t>
      </w:r>
      <w:r>
        <w:rPr>
          <w:rFonts w:ascii="Calibri" w:hAnsi="Calibri"/>
          <w:b/>
        </w:rPr>
        <w:t>B</w:t>
      </w:r>
      <w:r>
        <w:rPr>
          <w:rFonts w:ascii="Calibri" w:hAnsi="Calibri"/>
        </w:rPr>
        <w:t xml:space="preserve"> sur le mécanisme de conversion/externalisation ; </w:t>
      </w:r>
      <w:r>
        <w:rPr>
          <w:rFonts w:ascii="Calibri" w:hAnsi="Calibri"/>
          <w:b/>
        </w:rPr>
        <w:t>C</w:t>
      </w:r>
      <w:r>
        <w:rPr>
          <w:rFonts w:ascii="Calibri" w:hAnsi="Calibri"/>
        </w:rPr>
        <w:t xml:space="preserve"> sur tout contre-factuel précis de niveau de développement.</w:t>
      </w:r>
    </w:p>
    <w:p>
      <w:pPr>
        <w:pStyle w:val="Heading2"/>
      </w:pPr>
      <w:r>
        <w:rPr>
          <w:rFonts w:ascii="Calibri" w:hAnsi="Calibri"/>
        </w:rPr>
        <w:t>Approfondissement — « Apartheid » ou créolisation : mesurer des gateways communs</w:t>
      </w:r>
    </w:p>
    <w:p>
      <w:r>
        <w:rPr>
          <w:rFonts w:ascii="Calibri" w:hAnsi="Calibri"/>
        </w:rPr>
        <w:t xml:space="preserve">Le terme </w:t>
      </w:r>
      <w:r>
        <w:rPr>
          <w:rFonts w:ascii="Calibri" w:hAnsi="Calibri"/>
          <w:i/>
        </w:rPr>
        <w:t>apartheid</w:t>
      </w:r>
      <w:r>
        <w:rPr>
          <w:rFonts w:ascii="Calibri" w:hAnsi="Calibri"/>
        </w:rPr>
        <w:t xml:space="preserve"> reste inadéquat comme description juridique. Les réformes constitutionnelles reconnaissent le tamoul comme langue officielle et l'anglais comme langue de liaison, avec Sinhala/Tamil dans administration, législation et justice [SRI-LANKA-PARLIAMENT-LANGUAGE].</w:t>
      </w:r>
    </w:p>
    <w:p>
      <w:r>
        <w:rPr>
          <w:rFonts w:ascii="Calibri" w:hAnsi="Calibri"/>
        </w:rPr>
        <w:t xml:space="preserve">Mais droit commun ne signifie pas société intégrée. La bonne question est empirique : existe-t-il des </w:t>
      </w:r>
      <w:r>
        <w:rPr>
          <w:rFonts w:ascii="Calibri" w:hAnsi="Calibri"/>
          <w:b/>
        </w:rPr>
        <w:t>gateways partagés</w:t>
      </w:r>
      <w:r>
        <w:rPr>
          <w:rFonts w:ascii="Calibri" w:hAnsi="Calibri"/>
        </w:rPr>
        <w:t xml:space="preserve"> ? Administration effectivement bilingue ; écoles, universités et entreprises mixtes ; mobilité résidentielle/professionnelle ; routes, énergie et chaînes de valeur interrégionales ; accès symétrique aux institutions nationales ; anglais comme langue-pont ; diaspora investissant dans des activités produisant des spillovers locaux ; médias, commerce et espaces urbains communs.</w:t>
      </w:r>
    </w:p>
    <w:p>
      <w:r>
        <w:rPr>
          <w:rFonts w:ascii="Calibri" w:hAnsi="Calibri"/>
        </w:rPr>
        <w:t>Le Sri Lanka peut donc évoluer vers intégration, segmentation durable ou nouvelle séparation territoriale sans que l'une de ces trajectoires soit déductible du droit seul.</w:t>
      </w:r>
    </w:p>
    <w:p>
      <w:pPr>
        <w:pStyle w:val="Heading3"/>
      </w:pPr>
      <w:r>
        <w:rPr>
          <w:rFonts w:ascii="Calibri" w:hAnsi="Calibri"/>
        </w:rPr>
        <w:t>développement comme substitut à la résolution politique</w:t>
      </w:r>
    </w:p>
    <w:p>
      <w:r>
        <w:rPr>
          <w:rFonts w:ascii="Calibri" w:hAnsi="Calibri"/>
        </w:rPr>
        <w:t xml:space="preserve">La thèse à retenir n'est pas que les infrastructures seraient inutiles : la reconstruction des routes, de l'électricité, de la pêche et de l'agriculture change réellement la vie économique. Le problème est plus précis : le développement matériel est utilisé comme </w:t>
      </w:r>
      <w:r>
        <w:rPr>
          <w:rFonts w:ascii="Calibri" w:hAnsi="Calibri"/>
          <w:b/>
        </w:rPr>
        <w:t>ersatz partiel</w:t>
      </w:r>
      <w:r>
        <w:rPr>
          <w:rFonts w:ascii="Calibri" w:hAnsi="Calibri"/>
        </w:rPr>
        <w:t xml:space="preserve"> d'une résolution institutionnelle du conflit. Le Nord peut être reconnecté physiquement sans que la question du partage de souveraineté ou de la mémoire soit réglée.</w:t>
      </w:r>
    </w:p>
    <w:p>
      <w:pPr>
        <w:pStyle w:val="Heading3"/>
      </w:pPr>
      <w:r>
        <w:rPr>
          <w:rFonts w:ascii="Calibri" w:hAnsi="Calibri"/>
        </w:rPr>
        <w:t>Hambantota et Colombo Port City</w:t>
      </w:r>
    </w:p>
    <w:p>
      <w:r>
        <w:rPr>
          <w:rFonts w:ascii="Calibri" w:hAnsi="Calibri"/>
        </w:rPr>
        <w:t>Deux sites deviennent des condensés de la nouvelle géopolitique : Hambantota, sur les routes maritimes du sud, et Colombo Port City, extension urbaine et financière de la capitale. Les investissements chinois sont importants, mais il faut éviter le récit simpliste « Chine achète l'île ». Les contrats, dettes, investissements directs, diplomatie commerciale et intérêts sri-lankais doivent être distingués.</w:t>
      </w:r>
    </w:p>
    <w:p>
      <w:pPr>
        <w:pStyle w:val="Heading3"/>
      </w:pPr>
      <w:r>
        <w:rPr>
          <w:rFonts w:ascii="Calibri" w:hAnsi="Calibri"/>
        </w:rPr>
        <w:t>Chine et Inde : balancing, pas choix binaire</w:t>
      </w:r>
    </w:p>
    <w:p>
      <w:r>
        <w:rPr>
          <w:rFonts w:ascii="Calibri" w:hAnsi="Calibri"/>
        </w:rPr>
        <w:t>La longue histoire de l'île comme nœud reparaît : Sri Lanka cherche des capitaux et marges de manœuvre auprès de plusieurs partenaires. La Chine offre infrastructure et financement ; l'Inde conserve des intérêts sécuritaires, culturels et économiques immédiats ; les partenaires occidentaux gardent un poids financier, commercial et normatif.</w:t>
      </w:r>
    </w:p>
    <w:p>
      <w:r>
        <w:rPr>
          <w:rFonts w:ascii="Calibri" w:hAnsi="Calibri"/>
        </w:rPr>
        <w:t xml:space="preserve">La politique étrangère ressemble donc moins à un alignement fixe qu'à une tentative de </w:t>
      </w:r>
      <w:r>
        <w:rPr>
          <w:rFonts w:ascii="Calibri" w:hAnsi="Calibri"/>
          <w:b/>
        </w:rPr>
        <w:t>multi-vector balancing</w:t>
      </w:r>
      <w:r>
        <w:rPr>
          <w:rFonts w:ascii="Calibri" w:hAnsi="Calibri"/>
        </w:rPr>
        <w:t>. Comme pour le « fair broker » médiéval, il faut éviter d'en faire une doctrine de neutralité parfaite : chaque projet crée ses dépendances et réactions.</w:t>
      </w:r>
    </w:p>
    <w:p>
      <w:pPr>
        <w:pStyle w:val="Heading3"/>
      </w:pPr>
      <w:r>
        <w:rPr>
          <w:rFonts w:ascii="Calibri" w:hAnsi="Calibri"/>
        </w:rPr>
        <w:t>2015 : la concentration du pouvoir devient elle-même enjeu électoral</w:t>
      </w:r>
    </w:p>
    <w:p>
      <w:r>
        <w:rPr>
          <w:rFonts w:ascii="Calibri" w:hAnsi="Calibri"/>
        </w:rPr>
        <w:t>L'alternance de 2015 et les réformes constitutionnelles illustrent une oscillation moderne : présidence forte pour transformer et sécuriser ; puis réforme pour rééquilibrer institutions ; puis retour vers un exécutif plus fort lorsque la sécurité redevient centrale.</w:t>
      </w:r>
    </w:p>
    <w:p>
      <w:pPr>
        <w:pStyle w:val="Heading3"/>
      </w:pPr>
      <w:r>
        <w:rPr>
          <w:rFonts w:ascii="Calibri" w:hAnsi="Calibri"/>
        </w:rPr>
        <w:t>2019 — Easter attacks</w:t>
      </w:r>
    </w:p>
    <w:p>
      <w:r>
        <w:rPr>
          <w:rFonts w:ascii="Calibri" w:hAnsi="Calibri"/>
        </w:rPr>
        <w:t>Les attentats du dimanche de Pâques contre églises et hôtels révèlent une autre dimension de la sécurité, différente du conflit LTTE. Ils exposent aussi les défaillances de coordination de l'État. La sécurité nationale redevient une ressource électorale majeure.</w:t>
      </w:r>
    </w:p>
    <w:p>
      <w:r>
        <w:rPr>
          <w:rFonts w:ascii="Calibri" w:hAnsi="Calibri"/>
          <w:b/>
        </w:rPr>
        <w:t>Ce qui rend l'optimum obsolète :</w:t>
      </w:r>
      <w:r>
        <w:rPr>
          <w:rFonts w:ascii="Calibri" w:hAnsi="Calibri"/>
        </w:rPr>
        <w:t xml:space="preserve"> le récit de stabilité post-guerre est brisé par le terrorisme et la perception de faiblesse institutionnelle ; un mandat pour un État plus fort revient au premier plan.</w:t>
      </w:r>
    </w:p>
    <w:p>
      <w:r>
        <w:rPr>
          <w:rFonts w:ascii="Calibri" w:hAnsi="Calibri"/>
          <w:b/>
        </w:rPr>
        <w:t>Passage vers le chapitre 7 :</w:t>
      </w:r>
      <w:r>
        <w:rPr>
          <w:rFonts w:ascii="Calibri" w:hAnsi="Calibri"/>
        </w:rPr>
        <w:t xml:space="preserve"> la concentration politique qui suit se heurte très vite à une contrainte plus dure que le conflit territorial : devises, dette et capacité macro-fiscale.</w:t>
      </w:r>
    </w:p>
    <w:p>
      <w:pPr>
        <w:pStyle w:val="Heading1"/>
        <w:pageBreakBefore/>
      </w:pPr>
      <w:r>
        <w:rPr>
          <w:rFonts w:ascii="Calibri" w:hAnsi="Calibri"/>
        </w:rPr>
        <w:t>Chapitre 7 — 2019-2022 : État fort, chocs externes et effondrement de la capacité macro-fiscale</w:t>
      </w:r>
    </w:p>
    <w:p>
      <w:r>
        <w:rPr>
          <w:rFonts w:ascii="Calibri" w:hAnsi="Calibri"/>
          <w:b/>
        </w:rPr>
        <w:t>Question causale : comment un État territorialement réunifié et politiquement centralisé peut-il perdre sa capacité à fournir carburant, médicaments, électricité et devises ?</w:t>
      </w:r>
    </w:p>
    <w:p>
      <w:r>
        <w:rPr>
          <w:rFonts w:ascii="Calibri" w:hAnsi="Calibri"/>
        </w:rPr>
        <w:t>Le gouvernement élu en 2019 hérite d'une dette élevée et d'un modèle dépendant des importations, du tourisme et du financement extérieur. Les réductions fiscales, la pandémie qui détruit temporairement le tourisme, les erreurs de politique économique et la dégradation de l'accès aux marchés font fondre les réserves. En 2022, Sri Lanka suspend le service de sa dette extérieure ; pénuries, inflation et files d'attente transforment la crise macroéconomique en crise de légitimité. Le mouvement Aragalaya occupe l'espace public et conduit au départ du président Gotabaya Rajapaksa.</w:t>
      </w:r>
    </w:p>
    <w:p>
      <w:pPr>
        <w:pStyle w:val="Heading3"/>
      </w:pPr>
      <w:r>
        <w:rPr>
          <w:rFonts w:ascii="Calibri" w:hAnsi="Calibri"/>
        </w:rPr>
        <w:t>la capacité d'État devient une question de devises</w:t>
      </w:r>
    </w:p>
    <w:p>
      <w:r>
        <w:rPr>
          <w:rFonts w:ascii="Calibri" w:hAnsi="Calibri"/>
        </w:rPr>
        <w:t xml:space="preserve">Dans les royaumes hydrauliques, l'État devait maintenir le cycle eau -\&gt; récolte -\&gt; impôt. Dans l'économie contemporaine, un autre cycle devient vital : </w:t>
      </w:r>
      <w:r>
        <w:rPr>
          <w:rFonts w:ascii="Calibri" w:hAnsi="Calibri"/>
          <w:b/>
        </w:rPr>
        <w:t>exportations/remittances/tourisme/financement -\&gt; devises -\&gt; importations d'énergie, médicaments et intrants -\&gt; activité économique -\&gt; recettes publiques</w:t>
      </w:r>
      <w:r>
        <w:rPr>
          <w:rFonts w:ascii="Calibri" w:hAnsi="Calibri"/>
        </w:rPr>
        <w:t>.</w:t>
      </w:r>
    </w:p>
    <w:p>
      <w:r>
        <w:rPr>
          <w:rFonts w:ascii="Calibri" w:hAnsi="Calibri"/>
        </w:rPr>
        <w:t>Quand ce circuit se brise, un État peut garder son armée, ses frontières et ses ministères tout en perdant une partie de sa capacité quotidienne. C'est l'équivalent moderne d'une infrastructure physique intacte dont la couche de coordination ne fonctionne plus.</w:t>
      </w:r>
    </w:p>
    <w:p>
      <w:pPr>
        <w:pStyle w:val="Heading3"/>
      </w:pPr>
      <w:r>
        <w:rPr>
          <w:rFonts w:ascii="Calibri" w:hAnsi="Calibri"/>
        </w:rPr>
        <w:t>pandémie et dépendance externe</w:t>
      </w:r>
    </w:p>
    <w:p>
      <w:r>
        <w:rPr>
          <w:rFonts w:ascii="Calibri" w:hAnsi="Calibri"/>
        </w:rPr>
        <w:t>Le choc COVID est un accélérateur, pas une cause suffisante. La Banque mondiale et le FMI insistent sur l'association de faiblesses structurelles, mauvaise gestion macroéconomique et chocs externes. C'est le bon niveau causal : éviter le récit monocausal « touristes absents » comme éviter le récit monocausal « dette chinoise ».</w:t>
      </w:r>
    </w:p>
    <w:p>
      <w:pPr>
        <w:pStyle w:val="Heading3"/>
      </w:pPr>
      <w:r>
        <w:rPr>
          <w:rFonts w:ascii="Calibri" w:hAnsi="Calibri"/>
        </w:rPr>
        <w:t>Aragalaya : crise économique -\&gt; rupture de coalition</w:t>
      </w:r>
    </w:p>
    <w:p>
      <w:r>
        <w:rPr>
          <w:rFonts w:ascii="Calibri" w:hAnsi="Calibri"/>
        </w:rPr>
        <w:t>La pénurie devient expérience politique partagée. L'Aragalaya réunit des groupes sociaux divers autour du rejet des élites et de la famille Rajapaksa. La crise change donc de HIL : d'abord finance et importations, puis rues, institutions, succession présidentielle et légitimité.</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FFF6D8"/>
            <w:tcBorders>
              <w:top w:val="single" w:sz="6" w:color="D6B656" w:space="0"/>
              <w:bottom w:val="single" w:sz="6" w:color="D6B656" w:space="0"/>
              <w:left w:val="single" w:sz="18" w:color="D6B656" w:space="0"/>
              <w:right w:val="single" w:sz="6" w:color="D6B656" w:space="0"/>
            </w:tcBorders>
          </w:tcPr>
          <w:p>
            <w:pPr>
              <w:keepNext/>
              <w:spacing w:after="80"/>
            </w:pPr>
            <w:r/>
            <w:r>
              <w:rPr>
                <w:rFonts w:ascii="Calibri" w:hAnsi="Calibri"/>
              </w:rPr>
              <w:t>FAUSSE PISTE — « DEBT TRAP CHINOIS » COMME EXPLICATION UNIQUE</w:t>
            </w:r>
          </w:p>
          <w:p>
            <w:pPr>
              <w:spacing w:after="80"/>
            </w:pPr>
            <w:r>
              <w:rPr>
                <w:rFonts w:ascii="Calibri" w:hAnsi="Calibri"/>
              </w:rPr>
              <w:t>Les engagements envers la Chine font partie du portefeuille de dette et des choix d'infrastructure, mais la crise de 2022 ne se réduit pas à Hambantota ou à un créancier. Structure fiscale faible, dette commerciale, politique de change, réserves, chocs externes et décisions domestiques composent le mécanisme.</w:t>
            </w:r>
          </w:p>
        </w:tc>
      </w:tr>
    </w:tbl>
    <w:p>
      <w:pPr>
        <w:spacing w:after="20"/>
      </w:pPr>
    </w:p>
    <w:p>
      <w:r>
        <w:rPr>
          <w:rFonts w:ascii="Calibri" w:hAnsi="Calibri"/>
          <w:b/>
        </w:rPr>
        <w:t>Ce qui rend l'optimum obsolète :</w:t>
      </w:r>
      <w:r>
        <w:rPr>
          <w:rFonts w:ascii="Calibri" w:hAnsi="Calibri"/>
        </w:rPr>
        <w:t xml:space="preserve"> la promesse d'un exécutif fort ne suffit plus ; la priorité passe de la souveraineté sécuritaire à la restauration de la solvabilité, des réserves et de l'accès aux importations.</w:t>
      </w:r>
    </w:p>
    <w:p>
      <w:r>
        <w:rPr>
          <w:rFonts w:ascii="Calibri" w:hAnsi="Calibri"/>
          <w:b/>
        </w:rPr>
        <w:t>Passage vers le chapitre 8 :</w:t>
      </w:r>
      <w:r>
        <w:rPr>
          <w:rFonts w:ascii="Calibri" w:hAnsi="Calibri"/>
        </w:rPr>
        <w:t xml:space="preserve"> la stabilisation nécessite un accord avec créanciers et FMI, donc un retour de la contrainte externe au cœur du contrat politique intérieur.</w:t>
      </w:r>
    </w:p>
    <w:p>
      <w:pPr>
        <w:pStyle w:val="Heading1"/>
        <w:pageBreakBefore/>
      </w:pPr>
      <w:r>
        <w:rPr>
          <w:rFonts w:ascii="Calibri" w:hAnsi="Calibri"/>
        </w:rPr>
        <w:t>Chapitre 8 — 2022-2026 : stabilisation, dette et rupture du système partisan</w:t>
      </w:r>
    </w:p>
    <w:p>
      <w:r>
        <w:rPr>
          <w:rFonts w:ascii="Calibri" w:hAnsi="Calibri"/>
          <w:b/>
        </w:rPr>
        <w:t>Question causale : comment une politique de stabilisation imposant des coûts sociaux débouche-t-elle sur une alternance radicale sans abandonner le cadre macroéconomique international ?</w:t>
      </w:r>
    </w:p>
    <w:p>
      <w:r>
        <w:rPr>
          <w:rFonts w:ascii="Calibri" w:hAnsi="Calibri"/>
        </w:rPr>
        <w:t>Après la fuite de Gotabaya Rajapaksa, Ranil Wickremesinghe devient président et privilégie la stabilisation : fiscalité, prix administrés, restructuration de dette et programme FMI. L'économie se stabilise progressivement, mais la pauvreté reste bien supérieure à son niveau d'avant-crise. En 2024, Anura Kumara Dissanayake gagne la présidentielle et son National People's Power/Jathika Jana Balawegaya obtient 159 sièges sur 225 au Parlement, bouleversant le système partisan. En 2026, le gouvernement continue pourtant le programme avec le FMI : la rupture est donc surtout une rupture de coalition, de gouvernance et de représentation, pas une sortie du régime de contraintes macroéconomiques.</w:t>
      </w:r>
    </w:p>
    <w:p>
      <w:pPr>
        <w:pStyle w:val="Heading3"/>
      </w:pPr>
      <w:r>
        <w:rPr>
          <w:rFonts w:ascii="Calibri" w:hAnsi="Calibri"/>
        </w:rPr>
        <w:t>2024 comme realignment</w:t>
      </w:r>
    </w:p>
    <w:p>
      <w:r>
        <w:rPr>
          <w:rFonts w:ascii="Calibri" w:hAnsi="Calibri"/>
        </w:rPr>
        <w:t>L'arrivée d'Anura Kumara Dissanayake à la présidence et la majorité parlementaire massive du NPP rompent avec la domination des familles et partis qui avaient structuré l'après-indépendance. Le JVP, passé de l'insurrection à la compétition électorale puis au cœur du NPP, offre un cas exceptionnel de transformation organisationnelle sur la longue durée moderne.</w:t>
      </w:r>
    </w:p>
    <w:p>
      <w:r>
        <w:rPr>
          <w:rFonts w:ascii="Calibri" w:hAnsi="Calibri"/>
        </w:rPr>
        <w:t>Le point causal n'est pas « le JVP a pris le pouvoir » au sens de 1971 ou 1987. C'est précisément l'inverse : une organisation issue d'une tradition révolutionnaire arrive au sommet par élections et coalition civique, dans le cadre constitutionnel qu'elle avait autrefois combattu.</w:t>
      </w:r>
    </w:p>
    <w:p>
      <w:pPr>
        <w:pStyle w:val="Heading3"/>
      </w:pPr>
      <w:r>
        <w:rPr>
          <w:rFonts w:ascii="Calibri" w:hAnsi="Calibri"/>
        </w:rPr>
        <w:t>stabilisation réelle, coût social persistant</w:t>
      </w:r>
    </w:p>
    <w:p>
      <w:r>
        <w:rPr>
          <w:rFonts w:ascii="Calibri" w:hAnsi="Calibri"/>
        </w:rPr>
        <w:t>Le FMI a achevé en mai 2026 les cinquième et sixième revues combinées de l'Extended Fund Facility. Le programme vise soutenabilité budgétaire et de dette, stabilité financière et des prix, réserves, gouvernance et réformes de croissance. La restructuration de dette est proche de son terme mais les risques de soutenabilité restent élevés.</w:t>
      </w:r>
    </w:p>
    <w:p>
      <w:r>
        <w:rPr>
          <w:rFonts w:ascii="Calibri" w:hAnsi="Calibri"/>
        </w:rPr>
        <w:t xml:space="preserve">La Banque mondiale décrit une reprise après la pire crise post-indépendance, mais souligne que la pauvreté a fortement augmenté et que la récupération sociale est plus lente que la stabilisation macroéconomique. Cela crée une tension politique durable : </w:t>
      </w:r>
      <w:r>
        <w:rPr>
          <w:rFonts w:ascii="Calibri" w:hAnsi="Calibri"/>
          <w:b/>
        </w:rPr>
        <w:t>stabiliser les agrégats n'équivaut pas à restaurer le niveau de vie</w:t>
      </w:r>
      <w:r>
        <w:rPr>
          <w:rFonts w:ascii="Calibri" w:hAnsi="Calibri"/>
        </w:rPr>
        <w:t>.</w:t>
      </w:r>
    </w:p>
    <w:p>
      <w:pPr>
        <w:pStyle w:val="Heading3"/>
      </w:pPr>
      <w:r>
        <w:rPr>
          <w:rFonts w:ascii="Calibri" w:hAnsi="Calibri"/>
        </w:rPr>
        <w:t>l'équilibre extérieur est plus dense que « Inde vs Chine »</w:t>
      </w:r>
    </w:p>
    <w:p>
      <w:r>
        <w:rPr>
          <w:rFonts w:ascii="Calibri" w:hAnsi="Calibri"/>
        </w:rPr>
        <w:t>Le Sri Lanka contemporain dépend simultanément de l'Inde, de la Chine, des institutions financières multilatérales, des marchés, du Golfe via les travailleurs migrants, et des visiteurs internationaux via le tourisme. La souveraineté moderne est donc une gestion de dépendances croisées.</w:t>
      </w:r>
    </w:p>
    <w:p>
      <w:r>
        <w:rPr>
          <w:rFonts w:ascii="Calibri" w:hAnsi="Calibri"/>
        </w:rPr>
        <w:t xml:space="preserve">Le bon parallèle avec la longue durée n'est pas une prétendue neutralité ancestrale ; c'est la persistance d'une </w:t>
      </w:r>
      <w:r>
        <w:rPr>
          <w:rFonts w:ascii="Calibri" w:hAnsi="Calibri"/>
          <w:b/>
        </w:rPr>
        <w:t>géographie de nœud</w:t>
      </w:r>
      <w:r>
        <w:rPr>
          <w:rFonts w:ascii="Calibri" w:hAnsi="Calibri"/>
        </w:rPr>
        <w:t xml:space="preserve"> : un petit État peut augmenter sa marge de manœuvre en diversifiant ses réseaux, mais il ne peut supprimer les contraintes de sa balance des paiements ou de sa proximité avec l'Inde.</w:t>
      </w:r>
    </w:p>
    <w:p>
      <w:pPr>
        <w:pStyle w:val="Heading3"/>
      </w:pPr>
      <w:r>
        <w:rPr>
          <w:rFonts w:ascii="Calibri" w:hAnsi="Calibri"/>
        </w:rPr>
        <w:t>nouvelle légitimité : anti-corruption, compétence et services</w:t>
      </w:r>
    </w:p>
    <w:p>
      <w:r>
        <w:rPr>
          <w:rFonts w:ascii="Calibri" w:hAnsi="Calibri"/>
        </w:rPr>
        <w:t>Le mandat NPP repose largement sur le rejet de la corruption, des dynasties politiques et de l'inefficacité, plutôt que sur une réécriture complète de l'identité nationale. C'est un déplacement du registre de légitimité : la performance administrative et l'intégrité prennent davantage de poids face aux anciens répertoires de famille, patronage et sécurité.</w:t>
      </w:r>
    </w:p>
    <w:p>
      <w:pPr>
        <w:pStyle w:val="Heading3"/>
      </w:pPr>
      <w:r>
        <w:rPr>
          <w:rFonts w:ascii="Calibri" w:hAnsi="Calibri"/>
        </w:rPr>
        <w:t>Situation au 14 août 2026</w:t>
      </w:r>
    </w:p>
    <w:p>
      <w:r>
        <w:rPr>
          <w:rFonts w:ascii="Calibri" w:hAnsi="Calibri"/>
        </w:rPr>
        <w:t>Anura Kumara Dissanayake est président ; Harini Amarasuriya est Première ministre. Le NPP dispose de 159 sièges sur 225. L'accord FMI demeure l'un des cadres centraux de politique économique ; la croissance 2026 est projetée à environ 3 % dans la revue de mai, tandis que la vulnérabilité de la dette et les séquelles sociales de la crise restent importantes.</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op w:w="120" w:type="dxa"/>
              <w:bottom w:w="120" w:type="dxa"/>
              <w:start w:w="160" w:type="dxa"/>
              <w:end w:w="160" w:type="dxa"/>
            </w:tcMar>
            <w:shd w:fill="E3EEF7"/>
            <w:tcBorders>
              <w:top w:val="single" w:sz="6" w:color="7FA6C4" w:space="0"/>
              <w:bottom w:val="single" w:sz="6" w:color="7FA6C4" w:space="0"/>
              <w:left w:val="single" w:sz="18" w:color="7FA6C4" w:space="0"/>
              <w:right w:val="single" w:sz="6" w:color="7FA6C4" w:space="0"/>
            </w:tcBorders>
          </w:tcPr>
          <w:p>
            <w:pPr>
              <w:keepNext/>
              <w:spacing w:after="80"/>
            </w:pPr>
            <w:r/>
            <w:r>
              <w:rPr>
                <w:rFonts w:ascii="Calibri" w:hAnsi="Calibri"/>
              </w:rPr>
              <w:t>PETIT DÉTOUR — LA BOUCLE HISTORIQUE CHANGE DE MATÉRIAU</w:t>
            </w:r>
          </w:p>
          <w:p>
            <w:pPr>
              <w:spacing w:after="80"/>
            </w:pPr>
            <w:r>
              <w:rPr>
                <w:rFonts w:ascii="Calibri" w:hAnsi="Calibri"/>
              </w:rPr>
              <w:t>À Polonnaruwa, l'État consolidait son pouvoir en reconnectant tanks, fiscalité, armée et Saṅgha. En 2026, le nœud critique est réserve de change, dette, taxation, investissement, filet social et confiance dans l'administration. La logique de système reste comparable ; les infrastructures de puissance ne sont plus les mêmes.</w:t>
            </w:r>
          </w:p>
        </w:tc>
      </w:tr>
    </w:tbl>
    <w:p>
      <w:pPr>
        <w:spacing w:after="20"/>
      </w:pPr>
    </w:p>
    <w:p>
      <w:r>
        <w:rPr>
          <w:rFonts w:ascii="Calibri" w:hAnsi="Calibri"/>
          <w:b/>
        </w:rPr>
        <w:t>Ce qui peut rendre l'optimum actuel obsolète :</w:t>
      </w:r>
      <w:r>
        <w:rPr>
          <w:rFonts w:ascii="Calibri" w:hAnsi="Calibri"/>
        </w:rPr>
        <w:t xml:space="preserve"> une croissance insuffisante pour absorber les coûts sociaux de l'ajustement ; un recul de la réforme de gouvernance ; une nouvelle crise externe ; ou, au contraire, une amélioration durable de recettes, exportations et productivité qui réduirait la dépendance aux cycles de dette.</w:t>
      </w:r>
    </w:p>
    <w:p>
      <w:pPr>
        <w:pStyle w:val="Heading1"/>
      </w:pPr>
      <w:r>
        <w:rPr>
          <w:rFonts w:ascii="Calibri" w:hAnsi="Calibri"/>
        </w:rPr>
        <w:t>Synthèse — sept décennies, quatre transformations du modèle d'État</w:t>
      </w:r>
    </w:p>
    <w:p>
      <w:pPr>
        <w:pStyle w:val="Heading2"/>
      </w:pPr>
      <w:r>
        <w:rPr>
          <w:rFonts w:ascii="Calibri" w:hAnsi="Calibri"/>
        </w:rPr>
        <w:t>Approfondissement — La carte causale consolidée</w:t>
      </w:r>
    </w:p>
    <w:p>
      <w:pPr>
        <w:pStyle w:val="Heading3"/>
      </w:pPr>
      <w:r>
        <w:rPr>
          <w:rFonts w:ascii="Calibri" w:hAnsi="Calibri"/>
        </w:rPr>
        <w:t>Axe horizontal — État et conflit</w:t>
      </w:r>
    </w:p>
    <w:p>
      <w:r>
        <w:rPr>
          <w:rFonts w:ascii="Calibri" w:hAnsi="Calibri"/>
        </w:rPr>
        <w:t>citoyenneté → langue → constitution → compétition distributive → violences → militarisation → guerre → reconstruction → crise économique → réalignement politique.</w:t>
      </w:r>
    </w:p>
    <w:p>
      <w:pPr>
        <w:pStyle w:val="Heading3"/>
      </w:pPr>
      <w:r>
        <w:rPr>
          <w:rFonts w:ascii="Calibri" w:hAnsi="Calibri"/>
        </w:rPr>
        <w:t>Axe vertical — reproduction et mobilité</w:t>
      </w:r>
    </w:p>
    <w:p>
      <w:r>
        <w:rPr>
          <w:rFonts w:ascii="Calibri" w:hAnsi="Calibri"/>
        </w:rPr>
        <w:t>caste/statut → école/anglais → accès à l'État/professions → quotas/réservations → temple et politique sociale → nationalisme défensif → guerre → mariage/diaspora → reconstruction.</w:t>
      </w:r>
    </w:p>
    <w:p>
      <w:pPr>
        <w:pStyle w:val="Heading3"/>
      </w:pPr>
      <w:r>
        <w:rPr>
          <w:rFonts w:ascii="Calibri" w:hAnsi="Calibri"/>
        </w:rPr>
        <w:t>Axe conversion territoriale</w:t>
      </w:r>
    </w:p>
    <w:p>
      <w:r>
        <w:rPr>
          <w:rFonts w:ascii="Calibri" w:hAnsi="Calibri"/>
        </w:rPr>
        <w:t xml:space="preserve">capabilités → gateways → connectivité → organisations absorbantes → emplois/capital → spillovers territoriaux </w:t>
      </w:r>
      <w:r>
        <w:rPr>
          <w:rFonts w:ascii="Calibri" w:hAnsi="Calibri"/>
          <w:b/>
        </w:rPr>
        <w:t>ou</w:t>
      </w:r>
      <w:r>
        <w:rPr>
          <w:rFonts w:ascii="Calibri" w:hAnsi="Calibri"/>
        </w:rPr>
        <w:t xml:space="preserve"> blocage/externalisation.</w:t>
      </w:r>
    </w:p>
    <w:p>
      <w:r>
        <w:rPr>
          <w:rFonts w:ascii="Calibri" w:hAnsi="Calibri"/>
        </w:rPr>
        <w:t>Ces axes se croisent en 1956, 1968, lors de la standardisation, pendant la guerre et dans la reconstruction post-2009. Le gain analytique est important : la guerre n'est plus seulement un résultat de l'échec politique ; elle devient aussi une machine à transformer les trajectoires sociales et territoriales.</w:t>
      </w:r>
    </w:p>
    <w:p>
      <w:pPr>
        <w:pStyle w:val="Heading3"/>
      </w:pPr>
      <w:r>
        <w:rPr>
          <w:rFonts w:ascii="Calibri" w:hAnsi="Calibri"/>
        </w:rPr>
        <w:t>Fausse piste finale</w:t>
      </w:r>
    </w:p>
    <w:p>
      <w:r>
        <w:rPr>
          <w:rFonts w:ascii="Calibri" w:hAnsi="Calibri"/>
        </w:rPr>
        <w:t>Il serait tentant d'écrire : « Tamil Nadu réussit parce qu'il réforme la caste, Jaffna échoue parce qu'elle reste traditionnelle, l'Indonésie réussit parce qu'elle choisit une meilleure langue ». Cette passe ferme précisément ces raccourcis.</w:t>
      </w:r>
    </w:p>
    <w:p>
      <w:r>
        <w:rPr>
          <w:rFonts w:ascii="Calibri" w:hAnsi="Calibri"/>
        </w:rPr>
        <w:t xml:space="preserve">La comparaison robuste dit autre chose : </w:t>
      </w:r>
      <w:r>
        <w:rPr>
          <w:rFonts w:ascii="Calibri" w:hAnsi="Calibri"/>
          <w:b/>
        </w:rPr>
        <w:t>des capitaux historiques proches peuvent produire des résultats radicalement différents selon les gateways institutionnels, la capacité d'absorption économique, l'échelle du marché, la sécurité, l'infrastructure et la possibilité de convertir les compétences localement plutôt que de les externaliser.</w:t>
      </w:r>
    </w:p>
    <w:p>
      <w:pPr>
        <w:pStyle w:val="Heading2"/>
      </w:pPr>
      <w:r>
        <w:rPr>
          <w:rFonts w:ascii="Calibri" w:hAnsi="Calibri"/>
        </w:rPr>
        <w:t>1. 1948-1972 : démocratiser et nationaliser l'État hérité</w:t>
      </w:r>
    </w:p>
    <w:p>
      <w:r>
        <w:rPr>
          <w:rFonts w:ascii="Calibri" w:hAnsi="Calibri"/>
        </w:rPr>
        <w:t xml:space="preserve">La première période transforme l'État colonial en État social et électoral de masse. Son succès en santé et éducation augmente les attentes ; sa politique de citoyenneté, de langue et de religion produit des frontières de reconnaissance. La contradiction n'est donc pas démocratie contre autoritarisme, mais </w:t>
      </w:r>
      <w:r>
        <w:rPr>
          <w:rFonts w:ascii="Calibri" w:hAnsi="Calibri"/>
          <w:b/>
        </w:rPr>
        <w:t>démocratisation majoritaire sans compromis constitutionnel suffisamment robuste sur le pluralisme</w:t>
      </w:r>
      <w:r>
        <w:rPr>
          <w:rFonts w:ascii="Calibri" w:hAnsi="Calibri"/>
        </w:rPr>
        <w:t>.</w:t>
      </w:r>
    </w:p>
    <w:p>
      <w:pPr>
        <w:pStyle w:val="Heading2"/>
      </w:pPr>
      <w:r>
        <w:rPr>
          <w:rFonts w:ascii="Calibri" w:hAnsi="Calibri"/>
        </w:rPr>
        <w:t>2. 1977-2009 : ouvrir l'économie et militariser la souveraineté</w:t>
      </w:r>
    </w:p>
    <w:p>
      <w:r>
        <w:rPr>
          <w:rFonts w:ascii="Calibri" w:hAnsi="Calibri"/>
        </w:rPr>
        <w:t>La seconde transformation associe marché, exécutif fort et conflit territorial. L'ouverture ne désarme pas l'État ; elle coexiste avec une militarisation croissante. La guerre fait de l'Inde, de la diaspora et des bailleurs des acteurs du système domestique. En 2009, l'État gagne territorialement ce qu'il n'avait pas obtenu par négociation.</w:t>
      </w:r>
    </w:p>
    <w:p>
      <w:pPr>
        <w:pStyle w:val="Heading2"/>
      </w:pPr>
      <w:r>
        <w:rPr>
          <w:rFonts w:ascii="Calibri" w:hAnsi="Calibri"/>
        </w:rPr>
        <w:t>3. 2009-2022 : reconstruire par l'infrastructure puis découvrir la contrainte financière</w:t>
      </w:r>
    </w:p>
    <w:p>
      <w:r>
        <w:rPr>
          <w:rFonts w:ascii="Calibri" w:hAnsi="Calibri"/>
        </w:rPr>
        <w:t>La victoire militaire ouvre un modèle de développement par les grands projets et une politique étrangère plus asiatique. Mais la capacité d'État ne se mesure pas seulement aux routes et ports. En 2022, la crise rappelle qu'un État connecté à l'économie mondiale dépend de sa capacité à lever des recettes, accumuler des devises et refinancer ses engagements.</w:t>
      </w:r>
    </w:p>
    <w:p>
      <w:pPr>
        <w:pStyle w:val="Heading2"/>
      </w:pPr>
      <w:r>
        <w:rPr>
          <w:rFonts w:ascii="Calibri" w:hAnsi="Calibri"/>
        </w:rPr>
        <w:t>4. 2022-2026 : restaurer la solvabilité et redéfinir la légitimité</w:t>
      </w:r>
    </w:p>
    <w:p>
      <w:r>
        <w:rPr>
          <w:rFonts w:ascii="Calibri" w:hAnsi="Calibri"/>
        </w:rPr>
        <w:t xml:space="preserve">La stabilisation restaure progressivement une capacité macro-fiscale minimale ; l'élection de 2024 redistribue le capital politique. La nouveauté est que la coalition anti-establishment n'abandonne pas pour autant le programme avec le FMI. L'affrontement pertinent devient moins « souveraineté vs étranger » que </w:t>
      </w:r>
      <w:r>
        <w:rPr>
          <w:rFonts w:ascii="Calibri" w:hAnsi="Calibri"/>
          <w:b/>
        </w:rPr>
        <w:t>qui supporte le coût de l'ajustement, qui contrôle l'État, et comment transformer stabilisation en croissance inclusive</w:t>
      </w:r>
      <w:r>
        <w:rPr>
          <w:rFonts w:ascii="Calibri" w:hAnsi="Calibri"/>
        </w:rPr>
        <w:t>.</w:t>
      </w:r>
    </w:p>
    <w:p>
      <w:pPr>
        <w:pStyle w:val="Heading2"/>
      </w:pPr>
      <w:r>
        <w:rPr>
          <w:rFonts w:ascii="Calibri" w:hAnsi="Calibri"/>
        </w:rPr>
        <w:t>Les 8 HIL en 2026</w:t>
      </w:r>
    </w:p>
    <w:tbl>
      <w:tblPr>
        <w:tblW w:type="dxa" w:w="9120"/>
        <w:tblLayout w:type="fixed"/>
        <w:tblLook w:firstColumn="1" w:firstRow="1" w:lastColumn="0" w:lastRow="0" w:noHBand="0" w:noVBand="1" w:val="04A0"/>
        <w:tblInd w:w="120" w:type="dxa"/>
      </w:tblPr>
      <w:tblGrid>
        <w:gridCol w:w="2280"/>
        <w:gridCol w:w="6840"/>
      </w:tblGrid>
      <w:tr>
        <w:tc>
          <w:tcPr>
            <w:tcW w:type="dxa" w:w="228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HIL</w:t>
            </w:r>
          </w:p>
        </w:tc>
        <w:tc>
          <w:tcPr>
            <w:tcW w:type="dxa" w:w="6840"/>
            <w:tcMar>
              <w:top w:w="80" w:type="dxa"/>
              <w:start w:w="120" w:type="dxa"/>
              <w:bottom w:w="80" w:type="dxa"/>
              <w:end w:w="120" w:type="dxa"/>
            </w:tcMar>
            <w:tcBorders>
              <w:bottom w:val="single" w:sz="3" w:color="D7DBE2"/>
            </w:tcBorders>
            <w:shd w:fill="E7EBF0"/>
          </w:tcPr>
          <w:p>
            <w:pPr>
              <w:spacing w:after="40" w:line="259" w:lineRule="auto"/>
            </w:pPr>
            <w:r>
              <w:rPr>
                <w:b/>
              </w:rPr>
            </w:r>
            <w:r>
              <w:rPr>
                <w:rFonts w:ascii="Calibri" w:hAnsi="Calibri"/>
                <w:b/>
              </w:rPr>
              <w:t>Question contemporaine structurante</w:t>
            </w:r>
          </w:p>
        </w:tc>
      </w:tr>
      <w:tr>
        <w:tc>
          <w:tcPr>
            <w:tcW w:type="dxa" w:w="2280"/>
            <w:tcMar>
              <w:top w:w="80" w:type="dxa"/>
              <w:start w:w="120" w:type="dxa"/>
              <w:bottom w:w="80" w:type="dxa"/>
              <w:end w:w="120" w:type="dxa"/>
            </w:tcMar>
            <w:tcBorders>
              <w:bottom w:val="single" w:sz="3" w:color="D7DBE2"/>
            </w:tcBorders>
          </w:tcPr>
          <w:p>
            <w:pPr>
              <w:spacing w:after="40" w:line="259" w:lineRule="auto"/>
            </w:pPr>
            <w:r/>
            <w:r>
              <w:rPr>
                <w:rFonts w:ascii="Calibri" w:hAnsi="Calibri"/>
              </w:rPr>
              <w:t>Institutions</w:t>
            </w:r>
          </w:p>
        </w:tc>
        <w:tc>
          <w:tcPr>
            <w:tcW w:type="dxa" w:w="6840"/>
            <w:tcMar>
              <w:top w:w="80" w:type="dxa"/>
              <w:start w:w="120" w:type="dxa"/>
              <w:bottom w:w="80" w:type="dxa"/>
              <w:end w:w="120" w:type="dxa"/>
            </w:tcMar>
            <w:tcBorders>
              <w:bottom w:val="single" w:sz="3" w:color="D7DBE2"/>
            </w:tcBorders>
          </w:tcPr>
          <w:p>
            <w:pPr>
              <w:spacing w:after="40" w:line="259" w:lineRule="auto"/>
            </w:pPr>
            <w:r/>
            <w:r>
              <w:rPr>
                <w:rFonts w:ascii="Calibri" w:hAnsi="Calibri"/>
              </w:rPr>
              <w:t>la supermajorité NPP produit-elle réforme durable ou nouvelle concentration ?</w:t>
            </w:r>
          </w:p>
        </w:tc>
      </w:tr>
      <w:tr>
        <w:tc>
          <w:tcPr>
            <w:tcW w:type="dxa" w:w="2280"/>
            <w:tcMar>
              <w:top w:w="80" w:type="dxa"/>
              <w:start w:w="120" w:type="dxa"/>
              <w:bottom w:w="80" w:type="dxa"/>
              <w:end w:w="120" w:type="dxa"/>
            </w:tcMar>
            <w:tcBorders>
              <w:bottom w:val="single" w:sz="3" w:color="D7DBE2"/>
            </w:tcBorders>
          </w:tcPr>
          <w:p>
            <w:pPr>
              <w:spacing w:after="40" w:line="259" w:lineRule="auto"/>
            </w:pPr>
            <w:r/>
            <w:r>
              <w:rPr>
                <w:rFonts w:ascii="Calibri" w:hAnsi="Calibri"/>
              </w:rPr>
              <w:t>Géographie</w:t>
            </w:r>
          </w:p>
        </w:tc>
        <w:tc>
          <w:tcPr>
            <w:tcW w:type="dxa" w:w="6840"/>
            <w:tcMar>
              <w:top w:w="80" w:type="dxa"/>
              <w:start w:w="120" w:type="dxa"/>
              <w:bottom w:w="80" w:type="dxa"/>
              <w:end w:w="120" w:type="dxa"/>
            </w:tcMar>
            <w:tcBorders>
              <w:bottom w:val="single" w:sz="3" w:color="D7DBE2"/>
            </w:tcBorders>
          </w:tcPr>
          <w:p>
            <w:pPr>
              <w:spacing w:after="40" w:line="259" w:lineRule="auto"/>
            </w:pPr>
            <w:r/>
            <w:r>
              <w:rPr>
                <w:rFonts w:ascii="Calibri" w:hAnsi="Calibri"/>
              </w:rPr>
              <w:t>comment reconnecter Nord/Est, highlands, corridors portuaires et périphéries rurales ?</w:t>
            </w:r>
          </w:p>
        </w:tc>
      </w:tr>
      <w:tr>
        <w:tc>
          <w:tcPr>
            <w:tcW w:type="dxa" w:w="2280"/>
            <w:tcMar>
              <w:top w:w="80" w:type="dxa"/>
              <w:start w:w="120" w:type="dxa"/>
              <w:bottom w:w="80" w:type="dxa"/>
              <w:end w:w="120" w:type="dxa"/>
            </w:tcMar>
            <w:tcBorders>
              <w:bottom w:val="single" w:sz="3" w:color="D7DBE2"/>
            </w:tcBorders>
          </w:tcPr>
          <w:p>
            <w:pPr>
              <w:spacing w:after="40" w:line="259" w:lineRule="auto"/>
            </w:pPr>
            <w:r/>
            <w:r>
              <w:rPr>
                <w:rFonts w:ascii="Calibri" w:hAnsi="Calibri"/>
              </w:rPr>
              <w:t>Économie</w:t>
            </w:r>
          </w:p>
        </w:tc>
        <w:tc>
          <w:tcPr>
            <w:tcW w:type="dxa" w:w="6840"/>
            <w:tcMar>
              <w:top w:w="80" w:type="dxa"/>
              <w:start w:w="120" w:type="dxa"/>
              <w:bottom w:w="80" w:type="dxa"/>
              <w:end w:w="120" w:type="dxa"/>
            </w:tcMar>
            <w:tcBorders>
              <w:bottom w:val="single" w:sz="3" w:color="D7DBE2"/>
            </w:tcBorders>
          </w:tcPr>
          <w:p>
            <w:pPr>
              <w:spacing w:after="40" w:line="259" w:lineRule="auto"/>
            </w:pPr>
            <w:r/>
            <w:r>
              <w:rPr>
                <w:rFonts w:ascii="Calibri" w:hAnsi="Calibri"/>
              </w:rPr>
              <w:t>comment sortir du cycle faible recettes -\&gt; dette -\&gt; ajustement ?</w:t>
            </w:r>
          </w:p>
        </w:tc>
      </w:tr>
      <w:tr>
        <w:tc>
          <w:tcPr>
            <w:tcW w:type="dxa" w:w="2280"/>
            <w:tcMar>
              <w:top w:w="80" w:type="dxa"/>
              <w:start w:w="120" w:type="dxa"/>
              <w:bottom w:w="80" w:type="dxa"/>
              <w:end w:w="120" w:type="dxa"/>
            </w:tcMar>
            <w:tcBorders>
              <w:bottom w:val="single" w:sz="3" w:color="D7DBE2"/>
            </w:tcBorders>
          </w:tcPr>
          <w:p>
            <w:pPr>
              <w:spacing w:after="40" w:line="259" w:lineRule="auto"/>
            </w:pPr>
            <w:r/>
            <w:r>
              <w:rPr>
                <w:rFonts w:ascii="Calibri" w:hAnsi="Calibri"/>
              </w:rPr>
              <w:t>Société</w:t>
            </w:r>
          </w:p>
        </w:tc>
        <w:tc>
          <w:tcPr>
            <w:tcW w:type="dxa" w:w="6840"/>
            <w:tcMar>
              <w:top w:w="80" w:type="dxa"/>
              <w:start w:w="120" w:type="dxa"/>
              <w:bottom w:w="80" w:type="dxa"/>
              <w:end w:w="120" w:type="dxa"/>
            </w:tcMar>
            <w:tcBorders>
              <w:bottom w:val="single" w:sz="3" w:color="D7DBE2"/>
            </w:tcBorders>
          </w:tcPr>
          <w:p>
            <w:pPr>
              <w:spacing w:after="40" w:line="259" w:lineRule="auto"/>
            </w:pPr>
            <w:r/>
            <w:r>
              <w:rPr>
                <w:rFonts w:ascii="Calibri" w:hAnsi="Calibri"/>
              </w:rPr>
              <w:t>comment résorber pauvreté post-crise, migration des compétences et inégalités régionales ?</w:t>
            </w:r>
          </w:p>
        </w:tc>
      </w:tr>
      <w:tr>
        <w:tc>
          <w:tcPr>
            <w:tcW w:type="dxa" w:w="2280"/>
            <w:tcMar>
              <w:top w:w="80" w:type="dxa"/>
              <w:start w:w="120" w:type="dxa"/>
              <w:bottom w:w="80" w:type="dxa"/>
              <w:end w:w="120" w:type="dxa"/>
            </w:tcMar>
            <w:tcBorders>
              <w:bottom w:val="single" w:sz="3" w:color="D7DBE2"/>
            </w:tcBorders>
          </w:tcPr>
          <w:p>
            <w:pPr>
              <w:spacing w:after="40" w:line="259" w:lineRule="auto"/>
            </w:pPr>
            <w:r/>
            <w:r>
              <w:rPr>
                <w:rFonts w:ascii="Calibri" w:hAnsi="Calibri"/>
              </w:rPr>
              <w:t>Culture/légitimité</w:t>
            </w:r>
          </w:p>
        </w:tc>
        <w:tc>
          <w:tcPr>
            <w:tcW w:type="dxa" w:w="6840"/>
            <w:tcMar>
              <w:top w:w="80" w:type="dxa"/>
              <w:start w:w="120" w:type="dxa"/>
              <w:bottom w:w="80" w:type="dxa"/>
              <w:end w:w="120" w:type="dxa"/>
            </w:tcMar>
            <w:tcBorders>
              <w:bottom w:val="single" w:sz="3" w:color="D7DBE2"/>
            </w:tcBorders>
          </w:tcPr>
          <w:p>
            <w:pPr>
              <w:spacing w:after="40" w:line="259" w:lineRule="auto"/>
            </w:pPr>
            <w:r/>
            <w:r>
              <w:rPr>
                <w:rFonts w:ascii="Calibri" w:hAnsi="Calibri"/>
              </w:rPr>
              <w:t>le registre anti-corruption peut-il dépasser les clivages identitaires sans les nier ?</w:t>
            </w:r>
          </w:p>
        </w:tc>
      </w:tr>
      <w:tr>
        <w:tc>
          <w:tcPr>
            <w:tcW w:type="dxa" w:w="2280"/>
            <w:tcMar>
              <w:top w:w="80" w:type="dxa"/>
              <w:start w:w="120" w:type="dxa"/>
              <w:bottom w:w="80" w:type="dxa"/>
              <w:end w:w="120" w:type="dxa"/>
            </w:tcMar>
            <w:tcBorders>
              <w:bottom w:val="single" w:sz="3" w:color="D7DBE2"/>
            </w:tcBorders>
          </w:tcPr>
          <w:p>
            <w:pPr>
              <w:spacing w:after="40" w:line="259" w:lineRule="auto"/>
            </w:pPr>
            <w:r/>
            <w:r>
              <w:rPr>
                <w:rFonts w:ascii="Calibri" w:hAnsi="Calibri"/>
              </w:rPr>
              <w:t>Sécurité</w:t>
            </w:r>
          </w:p>
        </w:tc>
        <w:tc>
          <w:tcPr>
            <w:tcW w:type="dxa" w:w="6840"/>
            <w:tcMar>
              <w:top w:w="80" w:type="dxa"/>
              <w:start w:w="120" w:type="dxa"/>
              <w:bottom w:w="80" w:type="dxa"/>
              <w:end w:w="120" w:type="dxa"/>
            </w:tcMar>
            <w:tcBorders>
              <w:bottom w:val="single" w:sz="3" w:color="D7DBE2"/>
            </w:tcBorders>
          </w:tcPr>
          <w:p>
            <w:pPr>
              <w:spacing w:after="40" w:line="259" w:lineRule="auto"/>
            </w:pPr>
            <w:r/>
            <w:r>
              <w:rPr>
                <w:rFonts w:ascii="Calibri" w:hAnsi="Calibri"/>
              </w:rPr>
              <w:t>comment maintenir la paix tout en traitant mémoire, justice et droits ?</w:t>
            </w:r>
          </w:p>
        </w:tc>
      </w:tr>
      <w:tr>
        <w:tc>
          <w:tcPr>
            <w:tcW w:type="dxa" w:w="2280"/>
            <w:tcMar>
              <w:top w:w="80" w:type="dxa"/>
              <w:start w:w="120" w:type="dxa"/>
              <w:bottom w:w="80" w:type="dxa"/>
              <w:end w:w="120" w:type="dxa"/>
            </w:tcMar>
            <w:tcBorders>
              <w:bottom w:val="single" w:sz="3" w:color="D7DBE2"/>
            </w:tcBorders>
          </w:tcPr>
          <w:p>
            <w:pPr>
              <w:spacing w:after="40" w:line="259" w:lineRule="auto"/>
            </w:pPr>
            <w:r/>
            <w:r>
              <w:rPr>
                <w:rFonts w:ascii="Calibri" w:hAnsi="Calibri"/>
              </w:rPr>
              <w:t>Régional/global</w:t>
            </w:r>
          </w:p>
        </w:tc>
        <w:tc>
          <w:tcPr>
            <w:tcW w:type="dxa" w:w="6840"/>
            <w:tcMar>
              <w:top w:w="80" w:type="dxa"/>
              <w:start w:w="120" w:type="dxa"/>
              <w:bottom w:w="80" w:type="dxa"/>
              <w:end w:w="120" w:type="dxa"/>
            </w:tcMar>
            <w:tcBorders>
              <w:bottom w:val="single" w:sz="3" w:color="D7DBE2"/>
            </w:tcBorders>
          </w:tcPr>
          <w:p>
            <w:pPr>
              <w:spacing w:after="40" w:line="259" w:lineRule="auto"/>
            </w:pPr>
            <w:r/>
            <w:r>
              <w:rPr>
                <w:rFonts w:ascii="Calibri" w:hAnsi="Calibri"/>
              </w:rPr>
              <w:t>comment arbitrer Inde, Chine, Golfe, Occident et multilatéraux sans surdépendance ?</w:t>
            </w:r>
          </w:p>
        </w:tc>
      </w:tr>
      <w:tr>
        <w:tc>
          <w:tcPr>
            <w:tcW w:type="dxa" w:w="2280"/>
            <w:tcMar>
              <w:top w:w="80" w:type="dxa"/>
              <w:start w:w="120" w:type="dxa"/>
              <w:bottom w:w="80" w:type="dxa"/>
              <w:end w:w="120" w:type="dxa"/>
            </w:tcMar>
            <w:tcBorders>
              <w:bottom w:val="single" w:sz="3" w:color="D7DBE2"/>
            </w:tcBorders>
          </w:tcPr>
          <w:p>
            <w:pPr>
              <w:spacing w:after="40" w:line="259" w:lineRule="auto"/>
            </w:pPr>
            <w:r/>
            <w:r>
              <w:rPr>
                <w:rFonts w:ascii="Calibri" w:hAnsi="Calibri"/>
              </w:rPr>
              <w:t>Historiographie</w:t>
            </w:r>
          </w:p>
        </w:tc>
        <w:tc>
          <w:tcPr>
            <w:tcW w:type="dxa" w:w="6840"/>
            <w:tcMar>
              <w:top w:w="80" w:type="dxa"/>
              <w:start w:w="120" w:type="dxa"/>
              <w:bottom w:w="80" w:type="dxa"/>
              <w:end w:w="120" w:type="dxa"/>
            </w:tcMar>
            <w:tcBorders>
              <w:bottom w:val="single" w:sz="3" w:color="D7DBE2"/>
            </w:tcBorders>
          </w:tcPr>
          <w:p>
            <w:pPr>
              <w:spacing w:after="40" w:line="259" w:lineRule="auto"/>
            </w:pPr>
            <w:r/>
            <w:r>
              <w:rPr>
                <w:rFonts w:ascii="Calibri" w:hAnsi="Calibri"/>
              </w:rPr>
              <w:t>comment éviter de relire 1948-2026 uniquement comme marche inévitable vers guerre puis crise ?</w:t>
            </w:r>
          </w:p>
        </w:tc>
      </w:tr>
    </w:tbl>
    <w:p>
      <w:pPr>
        <w:spacing w:after="20"/>
      </w:pPr>
    </w:p>
    <w:p>
      <w:pPr>
        <w:pStyle w:val="Heading2"/>
      </w:pPr>
      <w:r>
        <w:rPr>
          <w:rFonts w:ascii="Calibri" w:hAnsi="Calibri"/>
        </w:rPr>
        <w:t>Conclusion</w:t>
      </w:r>
    </w:p>
    <w:p>
      <w:r>
        <w:rPr>
          <w:rFonts w:ascii="Calibri" w:hAnsi="Calibri"/>
        </w:rPr>
        <w:t xml:space="preserve">La longue durée du Sri Lanka ne raconte pas un pays éternellement condamné par sa position ou ses identités. Elle montre plutôt une succession de </w:t>
      </w:r>
      <w:r>
        <w:rPr>
          <w:rFonts w:ascii="Calibri" w:hAnsi="Calibri"/>
          <w:b/>
        </w:rPr>
        <w:t>modèles d'intégration</w:t>
      </w:r>
      <w:r>
        <w:rPr>
          <w:rFonts w:ascii="Calibri" w:hAnsi="Calibri"/>
        </w:rPr>
        <w:t xml:space="preserve"> : hydraulique et monastique ; colonial et portuaire ; parlementaire et social ; présidentiel et marchand ; militaire et infrastructurel ; enfin macro-financier et réformateur. Chaque modèle produit de la capacité et ses propres fragilités. La question la plus féconde pour la suite n'est donc pas « quel est le vrai Sri Lanka ? », mais </w:t>
      </w:r>
      <w:r>
        <w:rPr>
          <w:rFonts w:ascii="Calibri" w:hAnsi="Calibri"/>
          <w:b/>
        </w:rPr>
        <w:t>quelle combinaison d'institutions, de ressources, de légitimité et de réseaux permet à l'île de rester intégrée sans transformer sa diversité en frontière politique permanente ?</w:t>
      </w:r>
    </w:p>
    <w:p>
      <w:pPr>
        <w:pStyle w:val="Heading2"/>
      </w:pPr>
      <w:r>
        <w:rPr>
          <w:rFonts w:ascii="Calibri" w:hAnsi="Calibri"/>
        </w:rPr>
        <w:t>Sources des approfondissements</w:t>
      </w:r>
    </w:p>
    <w:p>
      <w:r>
        <w:rPr>
          <w:rFonts w:ascii="Calibri" w:hAnsi="Calibri"/>
        </w:rPr>
        <w:t>Ces notices donnent la source exacte des approfondissements. Le niveau de source décrit la nature du document, sans autoriser une généralisation au-delà de son champ.</w:t>
      </w:r>
    </w:p>
    <w:p>
      <w:pPr>
        <w:pStyle w:val="Heading3"/>
      </w:pPr>
      <w:r>
        <w:rPr>
          <w:rFonts w:ascii="Calibri" w:hAnsi="Calibri"/>
        </w:rPr>
        <w:t>ADB-CONFLICT-REGION — Sri Lanka Conflict-Affected Region Emergency Project</w:t>
      </w:r>
    </w:p>
    <w:p>
      <w:r>
        <w:rPr>
          <w:rFonts w:ascii="Calibri" w:hAnsi="Calibri"/>
        </w:rPr>
        <w:t>T2 corroborating bridge postwar restoration of roads, power, water, irrigation, administrative services, livelihoods and investment conditions in Northern Province</w:t>
      </w:r>
    </w:p>
    <w:p>
      <w:r>
        <w:rPr>
          <w:rFonts w:ascii="Calibri" w:hAnsi="Calibri"/>
        </w:rPr>
        <w:t>Limite : project documentation mixes baseline diagnosis, targets and achieved project outputs; do not equate project outputs with full regional recovery</w:t>
      </w:r>
    </w:p>
    <w:p>
      <w:r>
        <w:rPr>
          <w:rFonts w:ascii="Calibri" w:hAnsi="Calibri"/>
        </w:rPr>
        <w:t>https://www.adb.org/projects/44065-013/main</w:t>
      </w:r>
    </w:p>
    <w:p>
      <w:pPr>
        <w:pStyle w:val="Heading3"/>
      </w:pPr>
      <w:r>
        <w:rPr>
          <w:rFonts w:ascii="Calibri" w:hAnsi="Calibri"/>
        </w:rPr>
        <w:t>ADB-NORTHERN-ROADS — Sri Lanka Northern Road Connectivity Project</w:t>
      </w:r>
    </w:p>
    <w:p>
      <w:r>
        <w:rPr>
          <w:rFonts w:ascii="Calibri" w:hAnsi="Calibri"/>
        </w:rPr>
        <w:t>T2 corroborating bridge conflict-related infrastructure destruction, underinvestment and market-connectivity constraints in Northern Province</w:t>
      </w:r>
    </w:p>
    <w:p>
      <w:r>
        <w:rPr>
          <w:rFonts w:ascii="Calibri" w:hAnsi="Calibri"/>
        </w:rPr>
        <w:t>Limite : project rationale from a development institution; strong on intervention context, not a complete regional counterfactual</w:t>
      </w:r>
    </w:p>
    <w:p>
      <w:r>
        <w:rPr>
          <w:rFonts w:ascii="Calibri" w:hAnsi="Calibri"/>
        </w:rPr>
        <w:t>https://www.adb.org/projects/42254-013/main</w:t>
      </w:r>
    </w:p>
    <w:p>
      <w:pPr>
        <w:pStyle w:val="Heading3"/>
      </w:pPr>
      <w:r>
        <w:rPr>
          <w:rFonts w:ascii="Calibri" w:hAnsi="Calibri"/>
        </w:rPr>
        <w:t>BPS-INDONESIA-LANGUAGE-2024 — Profile of Ethnic Groups and Regional Language Diversity — Long Form 2020 Population Census</w:t>
      </w:r>
    </w:p>
    <w:p>
      <w:r>
        <w:rPr>
          <w:rFonts w:ascii="Calibri" w:hAnsi="Calibri"/>
        </w:rPr>
        <w:t>T0 corroborating comparative anchor official contemporary evidence that Bahasa Indonesia coexists with extensive regional-language use across Indonesia</w:t>
      </w:r>
    </w:p>
    <w:p>
      <w:r>
        <w:rPr>
          <w:rFonts w:ascii="Calibri" w:hAnsi="Calibri"/>
        </w:rPr>
        <w:t>Limite : contemporary language-use profile; does not by itself establish historical causality from the 1928/1945 language choice</w:t>
      </w:r>
    </w:p>
    <w:p>
      <w:r>
        <w:rPr>
          <w:rFonts w:ascii="Calibri" w:hAnsi="Calibri"/>
        </w:rPr>
        <w:t>https://www.bps.go.id/en/publication/2024/12/12/6feb932e24186429686fb57b/profile-of-ethnic-groups-and-regional-language-diversity-results-of-the-2020-population-census-long-form.html</w:t>
      </w:r>
    </w:p>
    <w:p>
      <w:pPr>
        <w:pStyle w:val="Heading3"/>
      </w:pPr>
      <w:r>
        <w:rPr>
          <w:rFonts w:ascii="Calibri" w:hAnsi="Calibri"/>
        </w:rPr>
        <w:t>CAMBRIDGE-ACM-EDU — A Nation of Ink and Paint: Map Drawing and Geographic Pedagogy in the American Ceylon Mission</w:t>
      </w:r>
    </w:p>
    <w:p>
      <w:r>
        <w:rPr>
          <w:rFonts w:ascii="Calibri" w:hAnsi="Calibri"/>
        </w:rPr>
        <w:t>T1 canonical anchor American Ceylon Mission educational investment, pedagogy and long-term social effects in Jaffna</w:t>
      </w:r>
    </w:p>
    <w:p>
      <w:r>
        <w:rPr>
          <w:rFonts w:ascii="Calibri" w:hAnsi="Calibri"/>
        </w:rPr>
        <w:t>Limite : education-history lens; not a complete explanation of Tamil political mobilization</w:t>
      </w:r>
    </w:p>
    <w:p>
      <w:r>
        <w:rPr>
          <w:rFonts w:ascii="Calibri" w:hAnsi="Calibri"/>
        </w:rPr>
        <w:t>https://www.cambridge.org/core/product/03A03B9165EE0B57323625D2E9681B0D/core-reader</w:t>
      </w:r>
    </w:p>
    <w:p>
      <w:pPr>
        <w:pStyle w:val="Heading3"/>
      </w:pPr>
      <w:r>
        <w:rPr>
          <w:rFonts w:ascii="Calibri" w:hAnsi="Calibri"/>
        </w:rPr>
        <w:t>CAMBRIDGE-CASTE-ENTREPRENEURSHIP — Caste Embeddedness and Entrepreneurship in Colonial and Contemporary India</w:t>
      </w:r>
    </w:p>
    <w:p>
      <w:r>
        <w:rPr>
          <w:rFonts w:ascii="Calibri" w:hAnsi="Calibri"/>
        </w:rPr>
        <w:t>T1 corroborating comparative anchor persistence of caste networks and unequal conversion of education/capital after liberalization</w:t>
      </w:r>
    </w:p>
    <w:p>
      <w:r>
        <w:rPr>
          <w:rFonts w:ascii="Calibri" w:hAnsi="Calibri"/>
        </w:rPr>
        <w:t>Limite : India-wide evidence; avoid projecting every pattern onto Tamil Nadu</w:t>
      </w:r>
    </w:p>
    <w:p>
      <w:r>
        <w:rPr>
          <w:rFonts w:ascii="Calibri" w:hAnsi="Calibri"/>
        </w:rPr>
        <w:t>https://www.cambridge.org/core/journals/enterprise-and-society/article/caste-embeddedness-and-entrepreneurship-in-colonial-and-contemporary-india/19BE22B6720CF070882825048609D2E9</w:t>
      </w:r>
    </w:p>
    <w:p>
      <w:pPr>
        <w:pStyle w:val="Heading3"/>
      </w:pPr>
      <w:r>
        <w:rPr>
          <w:rFonts w:ascii="Calibri" w:hAnsi="Calibri"/>
        </w:rPr>
        <w:t>CAMBRIDGE-DRAVIDIAN-CAPITAL — Broadening Growth and Democratising Capital — The Dravidian Model</w:t>
      </w:r>
    </w:p>
    <w:p>
      <w:r>
        <w:rPr>
          <w:rFonts w:ascii="Calibri" w:hAnsi="Calibri"/>
        </w:rPr>
        <w:t>T1 canonical comparative anchor Tamil Nadu political mobilisation, broader entry into accumulation and modern economic opportunity</w:t>
      </w:r>
    </w:p>
    <w:p>
      <w:r>
        <w:rPr>
          <w:rFonts w:ascii="Calibri" w:hAnsi="Calibri"/>
        </w:rPr>
        <w:t>Limite : interpretive political-economy chapter; do not treat broadening as equal distribution or a single cause of growth</w:t>
      </w:r>
    </w:p>
    <w:p>
      <w:r>
        <w:rPr>
          <w:rFonts w:ascii="Calibri" w:hAnsi="Calibri"/>
        </w:rPr>
        <w:t>https://www.cambridge.org/core/books/abs/dravidian-model/broadening-growth-and-democratising-capital/6FFFF50EDA8F739B02F5AFD230D01723</w:t>
      </w:r>
    </w:p>
    <w:p>
      <w:pPr>
        <w:pStyle w:val="Heading3"/>
      </w:pPr>
      <w:r>
        <w:rPr>
          <w:rFonts w:ascii="Calibri" w:hAnsi="Calibri"/>
        </w:rPr>
        <w:t>CAMBRIDGE-DRAVIDIAN-EDUCATION — Democratising Education — The Dravidian Model</w:t>
      </w:r>
    </w:p>
    <w:p>
      <w:r>
        <w:rPr>
          <w:rFonts w:ascii="Calibri" w:hAnsi="Calibri"/>
        </w:rPr>
        <w:t>T1 canonical comparative anchor lower-caste educational aspirations and state responses in Tamil Nadu</w:t>
      </w:r>
    </w:p>
    <w:p>
      <w:r>
        <w:rPr>
          <w:rFonts w:ascii="Calibri" w:hAnsi="Calibri"/>
        </w:rPr>
        <w:t>Limite : Tamil Nadu-specific political-economy interpretation</w:t>
      </w:r>
    </w:p>
    <w:p>
      <w:r>
        <w:rPr>
          <w:rFonts w:ascii="Calibri" w:hAnsi="Calibri"/>
        </w:rPr>
        <w:t>https://www.cambridge.org/core/books/abs/dravidian-model/democratising-education/FA674D37C8B0DF58A27743C697F9E26B</w:t>
      </w:r>
    </w:p>
    <w:p>
      <w:pPr>
        <w:pStyle w:val="Heading3"/>
      </w:pPr>
      <w:r>
        <w:rPr>
          <w:rFonts w:ascii="Calibri" w:hAnsi="Calibri"/>
        </w:rPr>
        <w:t>CAMBRIDGE-DRAVIDIAN-MODEL — The Dravidian Model: Interpreting the Political Economy of Tamil Nadu</w:t>
      </w:r>
    </w:p>
    <w:p>
      <w:r>
        <w:rPr>
          <w:rFonts w:ascii="Calibri" w:hAnsi="Calibri"/>
        </w:rPr>
        <w:t>T1 canonical comparative anchor anti-caste mobilization, social justice and inclusive modernization in Tamil Nadu</w:t>
      </w:r>
    </w:p>
    <w:p>
      <w:r>
        <w:rPr>
          <w:rFonts w:ascii="Calibri" w:hAnsi="Calibri"/>
        </w:rPr>
        <w:t>Limite : interpretive model; compare with critical literature and do not equate relative success with caste elimination</w:t>
      </w:r>
    </w:p>
    <w:p>
      <w:r>
        <w:rPr>
          <w:rFonts w:ascii="Calibri" w:hAnsi="Calibri"/>
        </w:rPr>
        <w:t>https://www.cambridge.org/core/books/the-dravidian-model/48F62283E95BC93C03EE0498EA9DA6A2</w:t>
      </w:r>
    </w:p>
    <w:p>
      <w:pPr>
        <w:pStyle w:val="Heading3"/>
      </w:pPr>
      <w:r>
        <w:rPr>
          <w:rFonts w:ascii="Calibri" w:hAnsi="Calibri"/>
        </w:rPr>
        <w:t>CAMBRIDGE-DRAVIDIAN-RURAL — Transforming Rural Relations — The Dravidian Model</w:t>
      </w:r>
    </w:p>
    <w:p>
      <w:r>
        <w:rPr>
          <w:rFonts w:ascii="Calibri" w:hAnsi="Calibri"/>
        </w:rPr>
        <w:t>T1 canonical comparative anchor education, infrastructure, welfare and caste mobilisation enabling diversification from caste-bound rural labour</w:t>
      </w:r>
    </w:p>
    <w:p>
      <w:r>
        <w:rPr>
          <w:rFonts w:ascii="Calibri" w:hAnsi="Calibri"/>
        </w:rPr>
        <w:t>Limite : Tamil Nadu-specific synthesis; land reform and welfare effects are heterogeneous</w:t>
      </w:r>
    </w:p>
    <w:p>
      <w:r>
        <w:rPr>
          <w:rFonts w:ascii="Calibri" w:hAnsi="Calibri"/>
        </w:rPr>
        <w:t>https://www.cambridge.org/core/books/dravidian-model/transforming-rural-relations/F58396B8750FFE0B6F563C0D306213FA</w:t>
      </w:r>
    </w:p>
    <w:p>
      <w:pPr>
        <w:pStyle w:val="Heading3"/>
      </w:pPr>
      <w:r>
        <w:rPr>
          <w:rFonts w:ascii="Calibri" w:hAnsi="Calibri"/>
        </w:rPr>
        <w:t>CAMBRIDGE-INDONESIA-LANGUAGE — National Language and Nation-Building: The Case of Bahasa Indonesia</w:t>
      </w:r>
    </w:p>
    <w:p>
      <w:r>
        <w:rPr>
          <w:rFonts w:ascii="Calibri" w:hAnsi="Calibri"/>
        </w:rPr>
        <w:t>T1 canonical comparative anchor choice of Malay-based Indonesian rather than majority Javanese and nation-building effects</w:t>
      </w:r>
    </w:p>
    <w:p>
      <w:r>
        <w:rPr>
          <w:rFonts w:ascii="Calibri" w:hAnsi="Calibri"/>
        </w:rPr>
        <w:t>Limite : language choice cannot by itself explain Indonesia's political stability or development</w:t>
      </w:r>
    </w:p>
    <w:p>
      <w:r>
        <w:rPr>
          <w:rFonts w:ascii="Calibri" w:hAnsi="Calibri"/>
        </w:rPr>
        <w:t>https://www.cambridge.org/core/books/language-nation-and-development-in-southeast-asia/national-language-and-nationbuilding-the-case-of-bahasa-indonesia/ACDC31A8D3C2602198B2271AE63AC271</w:t>
      </w:r>
    </w:p>
    <w:p>
      <w:pPr>
        <w:pStyle w:val="Heading3"/>
      </w:pPr>
      <w:r>
        <w:rPr>
          <w:rFonts w:ascii="Calibri" w:hAnsi="Calibri"/>
        </w:rPr>
        <w:t>CAMBRIDGE-INWARD-ECONOMY — Sri Lanka — National Strategies for Regional Integration</w:t>
      </w:r>
    </w:p>
    <w:p>
      <w:r>
        <w:rPr>
          <w:rFonts w:ascii="Calibri" w:hAnsi="Calibri"/>
        </w:rPr>
        <w:t>T1 canonical anchor 1960s–1970s inward-looking dirigisme, terms-of-trade pressures and 1977 outward-policy reversal</w:t>
      </w:r>
    </w:p>
    <w:p>
      <w:r>
        <w:rPr>
          <w:rFonts w:ascii="Calibri" w:hAnsi="Calibri"/>
        </w:rPr>
        <w:t>Limite : macro-policy synthesis; does not isolate language policy as a growth determinant</w:t>
      </w:r>
    </w:p>
    <w:p>
      <w:r>
        <w:rPr>
          <w:rFonts w:ascii="Calibri" w:hAnsi="Calibri"/>
        </w:rPr>
        <w:t>https://www.cambridge.org/core/books/abs/national-strategies-for-regional-integration/sri-lanka/E17B014A6D4D5923E43C8A2F3DCD5A4F</w:t>
      </w:r>
    </w:p>
    <w:p>
      <w:pPr>
        <w:pStyle w:val="Heading3"/>
      </w:pPr>
      <w:r>
        <w:rPr>
          <w:rFonts w:ascii="Calibri" w:hAnsi="Calibri"/>
        </w:rPr>
        <w:t>CAMBRIDGE-JAFFNA-TEMPLE-1968 — The Political Construction of Defensive Nationalism: The 1968 Temple-Entry Crisis in Northern Sri Lanka</w:t>
      </w:r>
    </w:p>
    <w:p>
      <w:r>
        <w:rPr>
          <w:rFonts w:ascii="Calibri" w:hAnsi="Calibri"/>
        </w:rPr>
        <w:t>T1 canonical anchor Maviddapuram temple-entry conflict, caste mobilization and subsequent Tamil political unification</w:t>
      </w:r>
    </w:p>
    <w:p>
      <w:r>
        <w:rPr>
          <w:rFonts w:ascii="Calibri" w:hAnsi="Calibri"/>
        </w:rPr>
        <w:t>Limite : one crisis used analytically; do not infer disappearance of caste after 1968</w:t>
      </w:r>
    </w:p>
    <w:p>
      <w:r>
        <w:rPr>
          <w:rFonts w:ascii="Calibri" w:hAnsi="Calibri"/>
        </w:rPr>
        <w:t>https://www.cambridge.org/core/journals/journal-of-asian-studies/article/abs/political-construction-of-defensive-nationalism-the-1968-templeentry-crisis-in-northern-sri-lanka/E6CB11349759513233EC35DAE1107568</w:t>
      </w:r>
    </w:p>
    <w:p>
      <w:pPr>
        <w:pStyle w:val="Heading3"/>
      </w:pPr>
      <w:r>
        <w:rPr>
          <w:rFonts w:ascii="Calibri" w:hAnsi="Calibri"/>
        </w:rPr>
        <w:t>CAMBRIDGE-LANGUAGE-DECOLONIZATION — Guardians of the Law — Buddhism and official-language politics</w:t>
      </w:r>
    </w:p>
    <w:p>
      <w:r>
        <w:rPr>
          <w:rFonts w:ascii="Calibri" w:hAnsi="Calibri"/>
        </w:rPr>
        <w:t>T1 canonical anchor Sinhala-only as postcolonial populist decolonization and linguistic nationalism</w:t>
      </w:r>
    </w:p>
    <w:p>
      <w:r>
        <w:rPr>
          <w:rFonts w:ascii="Calibri" w:hAnsi="Calibri"/>
        </w:rPr>
        <w:t>Limite : constitutional-law and religion lens; distinguish decolonization motive from distributive ethnic effects</w:t>
      </w:r>
    </w:p>
    <w:p>
      <w:r>
        <w:rPr>
          <w:rFonts w:ascii="Calibri" w:hAnsi="Calibri"/>
        </w:rPr>
        <w:t>https://www.cambridge.org/core/product/identifier/9781009286022%23CN-bp-7/type/book_part</w:t>
      </w:r>
    </w:p>
    <w:p>
      <w:pPr>
        <w:pStyle w:val="Heading3"/>
      </w:pPr>
      <w:r>
        <w:rPr>
          <w:rFonts w:ascii="Calibri" w:hAnsi="Calibri"/>
        </w:rPr>
        <w:t>CAMBRIDGE-LANGUAGE-JAFFNA — Trilingual Blunders: Signboards, Social Media, and Transnational Sri Lankan Tamil Publics</w:t>
      </w:r>
    </w:p>
    <w:p>
      <w:r>
        <w:rPr>
          <w:rFonts w:ascii="Calibri" w:hAnsi="Calibri"/>
        </w:rPr>
        <w:t>T1 corroborating bridge post-1956 language policy and its particular effect on English-educated Jaffna Tamils</w:t>
      </w:r>
    </w:p>
    <w:p>
      <w:r>
        <w:rPr>
          <w:rFonts w:ascii="Calibri" w:hAnsi="Calibri"/>
        </w:rPr>
        <w:t>Limite : language/public-culture focus; not a complete labour-market history</w:t>
      </w:r>
    </w:p>
    <w:p>
      <w:r>
        <w:rPr>
          <w:rFonts w:ascii="Calibri" w:hAnsi="Calibri"/>
        </w:rPr>
        <w:t>https://www.cambridge.org/core/journals/signs-and-society/article/trilingual-blunders-signboards-social-media-and-transnational-sri-lankan-tamil-publics/92033464269CDE3AA06237E8A8DFED49</w:t>
      </w:r>
    </w:p>
    <w:p>
      <w:pPr>
        <w:pStyle w:val="Heading3"/>
      </w:pPr>
      <w:r>
        <w:rPr>
          <w:rFonts w:ascii="Calibri" w:hAnsi="Calibri"/>
        </w:rPr>
        <w:t>CAMBRIDGE-LTTE-PUBLIC-AUTHORITY — Public Authority Under Sovereign Encroachment: Leadership in two villages during Sri Lanka's war</w:t>
      </w:r>
    </w:p>
    <w:p>
      <w:r>
        <w:rPr>
          <w:rFonts w:ascii="Calibri" w:hAnsi="Calibri"/>
        </w:rPr>
        <w:t>T1 canonical anchor LTTE attempts to curb caste-based temple rights and limits imposed by temple/kudi authority</w:t>
      </w:r>
    </w:p>
    <w:p>
      <w:r>
        <w:rPr>
          <w:rFonts w:ascii="Calibri" w:hAnsi="Calibri"/>
        </w:rPr>
        <w:t>Limite : village/temple cases; not a census of all LTTE-controlled society</w:t>
      </w:r>
    </w:p>
    <w:p>
      <w:r>
        <w:rPr>
          <w:rFonts w:ascii="Calibri" w:hAnsi="Calibri"/>
        </w:rPr>
        <w:t>https://www.cambridge.org/core/journals/modern-asian-studies/article/public-authority-under-sovereign-encroachment-leadership-in-two-villages-during-sri-lankas-war/795BB9F94F6FDCF94F69073DA3509D80</w:t>
      </w:r>
    </w:p>
    <w:p>
      <w:pPr>
        <w:pStyle w:val="Heading3"/>
      </w:pPr>
      <w:r>
        <w:rPr>
          <w:rFonts w:ascii="Calibri" w:hAnsi="Calibri"/>
        </w:rPr>
        <w:t>CAMBRIDGE-NAM-KOTELAWALA — Three meanings of colonialism: Nehru, Sukarno, and Kotelawala debate the future of the Third World Movement (1954–61)</w:t>
      </w:r>
    </w:p>
    <w:p>
      <w:r>
        <w:rPr>
          <w:rFonts w:ascii="Calibri" w:hAnsi="Calibri"/>
        </w:rPr>
        <w:t>T1 canonical anchor Colombo Powers 1954, Bandung 1955, Belgrade 1961 and Ceylon's contested place in early non-alignment</w:t>
      </w:r>
    </w:p>
    <w:p>
      <w:r>
        <w:rPr>
          <w:rFonts w:ascii="Calibri" w:hAnsi="Calibri"/>
        </w:rPr>
        <w:t>Limite : focuses on elite diplomatic concepts of colonialism rather than domestic political economy</w:t>
      </w:r>
    </w:p>
    <w:p>
      <w:r>
        <w:rPr>
          <w:rFonts w:ascii="Calibri" w:hAnsi="Calibri"/>
        </w:rPr>
        <w:t>https://www.cambridge.org/core/journals/journal-of-global-history/article/three-meanings-of-colonialism-nehru-sukarno-and-kotelawala-debate-the-future-of-the-third-world-movement-195461/41920E719970B4E2D14BF0AF908CC9B3</w:t>
      </w:r>
    </w:p>
    <w:p>
      <w:pPr>
        <w:pStyle w:val="Heading3"/>
      </w:pPr>
      <w:r>
        <w:rPr>
          <w:rFonts w:ascii="Calibri" w:hAnsi="Calibri"/>
        </w:rPr>
        <w:t>CAMBRIDGE-NAM-NIEO — Crude Alliance — Economic Decolonisation and Oil Power in the Non-Aligned World</w:t>
      </w:r>
    </w:p>
    <w:p>
      <w:r>
        <w:rPr>
          <w:rFonts w:ascii="Calibri" w:hAnsi="Calibri"/>
        </w:rPr>
        <w:t>T1 canonical anchor Sirimavo Bandaranaike, 1976 Colombo NAM summit and New International Economic Order ambitions</w:t>
      </w:r>
    </w:p>
    <w:p>
      <w:r>
        <w:rPr>
          <w:rFonts w:ascii="Calibri" w:hAnsi="Calibri"/>
        </w:rPr>
        <w:t>Limite : 1970s oil/economic-decolonization focus; do not back-project radical NAM economics to Bandung as a settled doctrine</w:t>
      </w:r>
    </w:p>
    <w:p>
      <w:r>
        <w:rPr>
          <w:rFonts w:ascii="Calibri" w:hAnsi="Calibri"/>
        </w:rPr>
        <w:t>https://www.cambridge.org/core/journals/contemporary-european-history/article/crude-alliance-economic-decolonisation-and-oil-power-in-the-nonaligned-world/5149F4D843DC0D84BB91ED376DE7F8BD</w:t>
      </w:r>
    </w:p>
    <w:p>
      <w:pPr>
        <w:pStyle w:val="Heading3"/>
      </w:pPr>
      <w:r>
        <w:rPr>
          <w:rFonts w:ascii="Calibri" w:hAnsi="Calibri"/>
        </w:rPr>
        <w:t>CAMBRIDGE-POONA-PACT — The Poona Pact, Indian National Congress and representation of Dalits in colonial India</w:t>
      </w:r>
    </w:p>
    <w:p>
      <w:r>
        <w:rPr>
          <w:rFonts w:ascii="Calibri" w:hAnsi="Calibri"/>
        </w:rPr>
        <w:t>T1 corroborating comparative anchor Ambedkar, Gandhi, reserved seats and contested models of Dalit representation</w:t>
      </w:r>
    </w:p>
    <w:p>
      <w:r>
        <w:rPr>
          <w:rFonts w:ascii="Calibri" w:hAnsi="Calibri"/>
        </w:rPr>
        <w:t>Limite : India-wide electoral representation; Tamil Nadu social policy requires separate sources</w:t>
      </w:r>
    </w:p>
    <w:p>
      <w:r>
        <w:rPr>
          <w:rFonts w:ascii="Calibri" w:hAnsi="Calibri"/>
        </w:rPr>
        <w:t>https://www.cambridge.org/core/journals/international-journal-of-asian-studies/article/poona-pact-indian-national-congress-and-the-descriptive-and-substantive-representation-of-dalits-in-colonial-india/C0A2334CEAF6C10CEDE652CA240663E3</w:t>
      </w:r>
    </w:p>
    <w:p>
      <w:pPr>
        <w:pStyle w:val="Heading3"/>
      </w:pPr>
      <w:r>
        <w:rPr>
          <w:rFonts w:ascii="Calibri" w:hAnsi="Calibri"/>
        </w:rPr>
        <w:t>CAMBRIDGE-STANDARDIZATION — Economic Liberalization versus Political Pluralism in Sri Lanka?</w:t>
      </w:r>
    </w:p>
    <w:p>
      <w:r>
        <w:rPr>
          <w:rFonts w:ascii="Calibri" w:hAnsi="Calibri"/>
        </w:rPr>
        <w:t>T1 canonical anchor Jaffna specialization in higher education and effect of university standardization/district quotas</w:t>
      </w:r>
    </w:p>
    <w:p>
      <w:r>
        <w:rPr>
          <w:rFonts w:ascii="Calibri" w:hAnsi="Calibri"/>
        </w:rPr>
        <w:t>Limite : political-economy synthesis; pair with admissions-specific literature</w:t>
      </w:r>
    </w:p>
    <w:p>
      <w:r>
        <w:rPr>
          <w:rFonts w:ascii="Calibri" w:hAnsi="Calibri"/>
        </w:rPr>
        <w:t>https://www.cambridge.org/core/journals/modern-asian-studies/article/economic-liberalization-versus-political-pluralism-in-sri-lanka/DAB134EA08B237ACE6668FB035751C01</w:t>
      </w:r>
    </w:p>
    <w:p>
      <w:pPr>
        <w:pStyle w:val="Heading3"/>
      </w:pPr>
      <w:r>
        <w:rPr>
          <w:rFonts w:ascii="Calibri" w:hAnsi="Calibri"/>
        </w:rPr>
        <w:t>CAMBRIDGE-STATE-NATION — Comparative Theory and Political Practice: Do We Need a State-Nation Model as Well as a Nation-State Model?</w:t>
      </w:r>
    </w:p>
    <w:p>
      <w:r>
        <w:rPr>
          <w:rFonts w:ascii="Calibri" w:hAnsi="Calibri"/>
        </w:rPr>
        <w:t>T1 corroborating anchor Tamil success in English civil-service examinations and absence of separatist demands at independence</w:t>
      </w:r>
    </w:p>
    <w:p>
      <w:r>
        <w:rPr>
          <w:rFonts w:ascii="Calibri" w:hAnsi="Calibri"/>
        </w:rPr>
        <w:t>Limite : comparative theory article; does not quantify every administrative grade</w:t>
      </w:r>
    </w:p>
    <w:p>
      <w:r>
        <w:rPr>
          <w:rFonts w:ascii="Calibri" w:hAnsi="Calibri"/>
        </w:rPr>
        <w:t>https://www.cambridge.org/core/journals/government-and-opposition/article/comparative-theory-and-political-practice-do-we-need-a-statenation-model-as-well-as-a-nationstate-model1/987676B3508546069FEE44667A16D77F</w:t>
      </w:r>
    </w:p>
    <w:p>
      <w:pPr>
        <w:pStyle w:val="Heading3"/>
      </w:pPr>
      <w:r>
        <w:rPr>
          <w:rFonts w:ascii="Calibri" w:hAnsi="Calibri"/>
        </w:rPr>
        <w:t>CAMBRIDGE-THIRANAGAMA-REVIEW — In My Mother's House: Civil War in Sri Lanka — review</w:t>
      </w:r>
    </w:p>
    <w:p>
      <w:r>
        <w:rPr>
          <w:rFonts w:ascii="Calibri" w:hAnsi="Calibri"/>
        </w:rPr>
        <w:t>T1 corroborating bridge war-related transformations of kinship, property and dowry in Tamil communities</w:t>
      </w:r>
    </w:p>
    <w:p>
      <w:r>
        <w:rPr>
          <w:rFonts w:ascii="Calibri" w:hAnsi="Calibri"/>
        </w:rPr>
        <w:t>Limite : book review; use monograph for detailed closure</w:t>
      </w:r>
    </w:p>
    <w:p>
      <w:r>
        <w:rPr>
          <w:rFonts w:ascii="Calibri" w:hAnsi="Calibri"/>
        </w:rPr>
        <w:t>https://www.cambridge.org/core/journals/journal-of-asian-studies/article/in-my-mothers-house-civil-war-in-sri-lanka-by-sharika-thiranagama-philadelphia-university-of-pennsylvania-press-2011-xvi-296-pp-5995-cloth/2BBBCAB83AD3032B328E6A651187AD4E</w:t>
      </w:r>
    </w:p>
    <w:p>
      <w:pPr>
        <w:pStyle w:val="Heading3"/>
      </w:pPr>
      <w:r>
        <w:rPr>
          <w:rFonts w:ascii="Calibri" w:hAnsi="Calibri"/>
        </w:rPr>
        <w:t>CAMBRIDGE-TWO-SOCIETIES — The Two Societies: a Study of Town Life in Nineteenth-Century Ceylon</w:t>
      </w:r>
    </w:p>
    <w:p>
      <w:r>
        <w:rPr>
          <w:rFonts w:ascii="Calibri" w:hAnsi="Calibri"/>
        </w:rPr>
        <w:t>T1 corroborating anchor comparative nineteenth-century education including earlier stronger female English education in Jaffna</w:t>
      </w:r>
    </w:p>
    <w:p>
      <w:r>
        <w:rPr>
          <w:rFonts w:ascii="Calibri" w:hAnsi="Calibri"/>
        </w:rPr>
        <w:t>Limite : urban and missionary evidence; avoid treating all northern households as beneficiaries</w:t>
      </w:r>
    </w:p>
    <w:p>
      <w:r>
        <w:rPr>
          <w:rFonts w:ascii="Calibri" w:hAnsi="Calibri"/>
        </w:rPr>
        <w:t>https://www.cambridge.org/core/journals/historical-journal/article/abs/v-the-two-societies-a-study-of-town-life-in-nineteenthcentury-ceylon/5E51E0C5AFE93CDD3F2F49F8187E5E1F</w:t>
      </w:r>
    </w:p>
    <w:p>
      <w:pPr>
        <w:pStyle w:val="Heading3"/>
      </w:pPr>
      <w:r>
        <w:rPr>
          <w:rFonts w:ascii="Calibri" w:hAnsi="Calibri"/>
        </w:rPr>
        <w:t>FRUS-CEYLON-1958 — The Outlook for Ceylon, NIE 54-58</w:t>
      </w:r>
    </w:p>
    <w:p>
      <w:r>
        <w:rPr>
          <w:rFonts w:ascii="Calibri" w:hAnsi="Calibri"/>
        </w:rPr>
        <w:t>T0 corroborating anchor contemporary US assessment of Bandaranaike neutralism, removal of British base rights and expanded Sino-Soviet relations</w:t>
      </w:r>
    </w:p>
    <w:p>
      <w:r>
        <w:rPr>
          <w:rFonts w:ascii="Calibri" w:hAnsi="Calibri"/>
        </w:rPr>
        <w:t>Limite : US intelligence perspective with Cold War bias; strong for contemporaneous actions, weak as neutral interpretation</w:t>
      </w:r>
    </w:p>
    <w:p>
      <w:r>
        <w:rPr>
          <w:rFonts w:ascii="Calibri" w:hAnsi="Calibri"/>
        </w:rPr>
        <w:t>https://history.state.gov/historicaldocuments/frus1958-60v15/d182</w:t>
      </w:r>
    </w:p>
    <w:p>
      <w:pPr>
        <w:pStyle w:val="Heading3"/>
      </w:pPr>
      <w:r>
        <w:rPr>
          <w:rFonts w:ascii="Calibri" w:hAnsi="Calibri"/>
        </w:rPr>
        <w:t>JSTOR-TAMIL-MARRIAGE-2019 — Marrying for a Future: Transnational Sri Lankan Tamil Marriages in the Shadow of War</w:t>
      </w:r>
    </w:p>
    <w:p>
      <w:r>
        <w:rPr>
          <w:rFonts w:ascii="Calibri" w:hAnsi="Calibri"/>
        </w:rPr>
        <w:t>T1 canonical anchor war, diaspora, marriage migration, kinship reconstruction and social mobility</w:t>
      </w:r>
    </w:p>
    <w:p>
      <w:r>
        <w:rPr>
          <w:rFonts w:ascii="Calibri" w:hAnsi="Calibri"/>
        </w:rPr>
        <w:t>Limite : marriage migration is not equivalent to forced marriage or a population-wide marriage pattern</w:t>
      </w:r>
    </w:p>
    <w:p>
      <w:r>
        <w:rPr>
          <w:rFonts w:ascii="Calibri" w:hAnsi="Calibri"/>
        </w:rPr>
        <w:t>https://www.jstor.org/stable/j.ctvf34hmx</w:t>
      </w:r>
    </w:p>
    <w:p>
      <w:pPr>
        <w:pStyle w:val="Heading3"/>
      </w:pPr>
      <w:r>
        <w:rPr>
          <w:rFonts w:ascii="Calibri" w:hAnsi="Calibri"/>
        </w:rPr>
        <w:t>SRI-LANKA-PARLIAMENT-LANGUAGE — Sri Lanka constitutional amendments through the Seventeenth Amendment</w:t>
      </w:r>
    </w:p>
    <w:p>
      <w:r>
        <w:rPr>
          <w:rFonts w:ascii="Calibri" w:hAnsi="Calibri"/>
        </w:rPr>
        <w:t>T0 canonical anchor Tamil official-language status, English link-language status, Sinhala/Tamil administration, legislation and courts after 1987–88</w:t>
      </w:r>
    </w:p>
    <w:p>
      <w:r>
        <w:rPr>
          <w:rFonts w:ascii="Calibri" w:hAnsi="Calibri"/>
        </w:rPr>
        <w:t>Limite : constitutional law does not establish equal implementation in practice</w:t>
      </w:r>
    </w:p>
    <w:p>
      <w:r>
        <w:rPr>
          <w:rFonts w:ascii="Calibri" w:hAnsi="Calibri"/>
        </w:rPr>
        <w:t>https://www.parliament.lk/en/constitution-amendments-upto-the-seventeenth-amendment</w:t>
      </w:r>
    </w:p>
    <w:p>
      <w:pPr>
        <w:pStyle w:val="Heading3"/>
      </w:pPr>
      <w:r>
        <w:rPr>
          <w:rFonts w:ascii="Calibri" w:hAnsi="Calibri"/>
        </w:rPr>
        <w:t>SRI-LANKA-SOCIAL-DISABILITIES-1957 — Prevention of Social Disabilities Act No. 21 of 1957</w:t>
      </w:r>
    </w:p>
    <w:p>
      <w:r>
        <w:rPr>
          <w:rFonts w:ascii="Calibri" w:hAnsi="Calibri"/>
        </w:rPr>
        <w:t>T0 canonical anchor statutory prohibition of caste-based social disabilities</w:t>
      </w:r>
    </w:p>
    <w:p>
      <w:r>
        <w:rPr>
          <w:rFonts w:ascii="Calibri" w:hAnsi="Calibri"/>
        </w:rPr>
        <w:t>Limite : law on the books does not establish enforcement or social compliance</w:t>
      </w:r>
    </w:p>
    <w:p>
      <w:r>
        <w:rPr>
          <w:rFonts w:ascii="Calibri" w:hAnsi="Calibri"/>
        </w:rPr>
        <w:t>https://www.srilankalaw.lk/index.php?id=931</w:t>
      </w:r>
    </w:p>
    <w:p>
      <w:pPr>
        <w:pStyle w:val="Heading3"/>
      </w:pPr>
      <w:r>
        <w:rPr>
          <w:rFonts w:ascii="Calibri" w:hAnsi="Calibri"/>
        </w:rPr>
        <w:t>SRI-LANKA-SOCIAL-DISABILITIES-1971 — Prevention of Social Disabilities (Amendment) Act No. 18 of 1971</w:t>
      </w:r>
    </w:p>
    <w:p>
      <w:r>
        <w:rPr>
          <w:rFonts w:ascii="Calibri" w:hAnsi="Calibri"/>
        </w:rPr>
        <w:t>T0 canonical anchor stronger penalties, police powers and evidentiary rules against caste discrimination</w:t>
      </w:r>
    </w:p>
    <w:p>
      <w:r>
        <w:rPr>
          <w:rFonts w:ascii="Calibri" w:hAnsi="Calibri"/>
        </w:rPr>
        <w:t>Limite : legal text; enforcement requires separate evidence</w:t>
      </w:r>
    </w:p>
    <w:p>
      <w:r>
        <w:rPr>
          <w:rFonts w:ascii="Calibri" w:hAnsi="Calibri"/>
        </w:rPr>
        <w:t>https://lankalaw.net/wp-content/uploads/2025/02/1971Y0V0C18A.html</w:t>
      </w:r>
    </w:p>
    <w:p>
      <w:pPr>
        <w:pStyle w:val="Heading3"/>
      </w:pPr>
      <w:r>
        <w:rPr>
          <w:rFonts w:ascii="Calibri" w:hAnsi="Calibri"/>
        </w:rPr>
        <w:t>TN-RESERVATION-OFFICIAL — Tamil Nadu Backward Classes Department — Reservation Benefits</w:t>
      </w:r>
    </w:p>
    <w:p>
      <w:r>
        <w:rPr>
          <w:rFonts w:ascii="Calibri" w:hAnsi="Calibri"/>
        </w:rPr>
        <w:t>T0 canonical comparative anchor current 69 percent reservation architecture across BC/MBC/DNC/SC/ST categories</w:t>
      </w:r>
    </w:p>
    <w:p>
      <w:r>
        <w:rPr>
          <w:rFonts w:ascii="Calibri" w:hAnsi="Calibri"/>
        </w:rPr>
        <w:t>Limite : current administrative policy; not a history of how each quota evolved</w:t>
      </w:r>
    </w:p>
    <w:p>
      <w:r>
        <w:rPr>
          <w:rFonts w:ascii="Calibri" w:hAnsi="Calibri"/>
        </w:rPr>
        <w:t>https://bcmbcmw.tn.gov.in/reservbenefits.htm</w:t>
      </w:r>
    </w:p>
    <w:p>
      <w:pPr>
        <w:pStyle w:val="Heading3"/>
      </w:pPr>
      <w:r>
        <w:rPr>
          <w:rFonts w:ascii="Calibri" w:hAnsi="Calibri"/>
        </w:rPr>
        <w:t>WORLD-BANK-ENGLISH-2014 — Sri Lanka Higher Education: Innovative Learning to Prepare Employment Ready Graduates</w:t>
      </w:r>
    </w:p>
    <w:p>
      <w:r>
        <w:rPr>
          <w:rFonts w:ascii="Calibri" w:hAnsi="Calibri"/>
        </w:rPr>
        <w:t>T2 corroborating bridge English, communication and employability skills as continuing labour-market priorities</w:t>
      </w:r>
    </w:p>
    <w:p>
      <w:r>
        <w:rPr>
          <w:rFonts w:ascii="Calibri" w:hAnsi="Calibri"/>
        </w:rPr>
        <w:t>Limite : development-programme perspective; cannot establish a counterfactual growth loss caused by 1950s language policy</w:t>
      </w:r>
    </w:p>
    <w:p>
      <w:r>
        <w:rPr>
          <w:rFonts w:ascii="Calibri" w:hAnsi="Calibri"/>
        </w:rPr>
        <w:t>https://www.worldbank.org/en/news/feature/2014/12/22/higher-education-innovative-learning-prepare-employment-ready-graduates</w:t>
      </w:r>
    </w:p>
    <w:p>
      <w:pPr>
        <w:pStyle w:val="Heading3"/>
      </w:pPr>
      <w:r>
        <w:rPr>
          <w:rFonts w:ascii="Calibri" w:hAnsi="Calibri"/>
        </w:rPr>
        <w:t>WORLD-BANK-REVIVE-2026 — Sri Lanka and World Bank Group Launch New Partnership to Create Jobs, Attract Private Investment</w:t>
      </w:r>
    </w:p>
    <w:p>
      <w:r>
        <w:rPr>
          <w:rFonts w:ascii="Calibri" w:hAnsi="Calibri"/>
        </w:rPr>
        <w:t>T2 corroborating current anchor Northern/Eastern regions as lagging economies and 2026 REVIVE investment including Jaffna</w:t>
      </w:r>
    </w:p>
    <w:p>
      <w:r>
        <w:rPr>
          <w:rFonts w:ascii="Calibri" w:hAnsi="Calibri"/>
        </w:rPr>
        <w:t>Limite : programme targets are prospective, not observed outcomes</w:t>
      </w:r>
    </w:p>
    <w:p>
      <w:r>
        <w:rPr>
          <w:rFonts w:ascii="Calibri" w:hAnsi="Calibri"/>
        </w:rPr>
        <w:t>https://www.worldbank.org/en/news/press-release/2026/04/01/sri-lanka-and-world-bank-group-launch-new-partnership-to-create-jobs-attract-private-investment</w:t>
      </w:r>
    </w:p>
    <w:p>
      <w:pPr>
        <w:pStyle w:val="Heading3"/>
      </w:pPr>
      <w:r>
        <w:rPr>
          <w:rFonts w:ascii="Calibri" w:hAnsi="Calibri"/>
        </w:rPr>
        <w:t>WORLD-BANK-TN-BRIEF — India States Briefs — Tamil Nadu</w:t>
      </w:r>
    </w:p>
    <w:p>
      <w:r>
        <w:rPr>
          <w:rFonts w:ascii="Calibri" w:hAnsi="Calibri"/>
        </w:rPr>
        <w:t>T2 corroborating comparative anchor fast growth, low poverty, farm-to-nonfarm transition and persistent social-group gaps in Tamil Nadu</w:t>
      </w:r>
    </w:p>
    <w:p>
      <w:r>
        <w:rPr>
          <w:rFonts w:ascii="Calibri" w:hAnsi="Calibri"/>
        </w:rPr>
        <w:t>Limite : 2018 development brief; useful for broad outcomes, not causal identification or current ranking</w:t>
      </w:r>
    </w:p>
    <w:p>
      <w:r>
        <w:rPr>
          <w:rFonts w:ascii="Calibri" w:hAnsi="Calibri"/>
        </w:rPr>
        <w:t>https://www.worldbank.org/en/country/india/brief/india-states-briefs-tamil-nadu</w:t>
      </w:r>
    </w:p>
    <w:p>
      <w:pPr>
        <w:pStyle w:val="Heading1"/>
      </w:pPr>
      <w:r>
        <w:rPr>
          <w:rFonts w:ascii="Calibri" w:hAnsi="Calibri"/>
        </w:rPr>
        <w:t>Sources d'ancrage — sélection</w:t>
      </w:r>
    </w:p>
    <w:p>
      <w:pPr>
        <w:pStyle w:val="Heading2"/>
      </w:pPr>
      <w:r>
        <w:rPr>
          <w:rFonts w:ascii="Calibri" w:hAnsi="Calibri"/>
        </w:rPr>
        <w:t>Recherche / Cambridge</w:t>
      </w:r>
    </w:p>
    <w:p>
      <w:pPr>
        <w:pStyle w:val="ListBullet"/>
      </w:pPr>
      <w:r>
        <w:rPr>
          <w:rFonts w:ascii="Calibri" w:hAnsi="Calibri"/>
        </w:rPr>
        <w:t>Sujit Choudhry, « Constitutional Politics and Crisis in Sri Lanka », Cambridge, sur langue, État unitaire et projets nationaux concurrents.</w:t>
      </w:r>
    </w:p>
    <w:p>
      <w:pPr>
        <w:pStyle w:val="ListBullet"/>
      </w:pPr>
      <w:r>
        <w:rPr>
          <w:rFonts w:ascii="Calibri" w:hAnsi="Calibri"/>
        </w:rPr>
        <w:t>Mario Gomez, « Constitutional Struggle in Sri Lanka », sur la trajectoire constitutionnelle et les Constitutions de 1972/1978.</w:t>
      </w:r>
    </w:p>
    <w:p>
      <w:pPr>
        <w:pStyle w:val="ListBullet"/>
      </w:pPr>
      <w:r>
        <w:rPr>
          <w:rFonts w:ascii="Calibri" w:hAnsi="Calibri"/>
        </w:rPr>
        <w:t>Benjamin Schonthal, travaux sur le Buddhist constitutionalism et la « foremost place » du bouddhisme.</w:t>
      </w:r>
    </w:p>
    <w:p>
      <w:pPr>
        <w:pStyle w:val="ListBullet"/>
      </w:pPr>
      <w:r>
        <w:rPr>
          <w:rFonts w:ascii="Calibri" w:hAnsi="Calibri"/>
        </w:rPr>
        <w:t>Mick Moore, « Thoroughly Modern Revolutionaries: The JVP in Sri Lanka », sur 1971 et 1987-89.</w:t>
      </w:r>
    </w:p>
    <w:p>
      <w:pPr>
        <w:pStyle w:val="ListBullet"/>
      </w:pPr>
      <w:r>
        <w:rPr>
          <w:rFonts w:ascii="Calibri" w:hAnsi="Calibri"/>
        </w:rPr>
        <w:t>Jayadeva Uyangoda, « Sri Lanka's Ethnic Conflict: The Autonomy-Separation Dialectic », sur le 13e amendement et l'autonomie.</w:t>
      </w:r>
    </w:p>
    <w:p>
      <w:pPr>
        <w:pStyle w:val="ListBullet"/>
      </w:pPr>
      <w:r>
        <w:rPr>
          <w:rFonts w:ascii="Calibri" w:hAnsi="Calibri"/>
        </w:rPr>
        <w:t>Bart Klem, \</w:t>
      </w:r>
      <w:r>
        <w:rPr>
          <w:rFonts w:ascii="Calibri" w:hAnsi="Calibri"/>
          <w:i/>
        </w:rPr>
        <w:t>Performing Sovereign Aspirations\</w:t>
      </w:r>
      <w:r>
        <w:rPr>
          <w:rFonts w:ascii="Calibri" w:hAnsi="Calibri"/>
        </w:rPr>
        <w:t>, sur souveraineté insurgée et guerre civile.</w:t>
      </w:r>
    </w:p>
    <w:p>
      <w:pPr>
        <w:pStyle w:val="ListBullet"/>
      </w:pPr>
      <w:r>
        <w:rPr>
          <w:rFonts w:ascii="Calibri" w:hAnsi="Calibri"/>
        </w:rPr>
        <w:t>Cambridge case studies sur Colombo Port City et investissements chinois.</w:t>
      </w:r>
    </w:p>
    <w:p>
      <w:pPr>
        <w:pStyle w:val="Heading2"/>
      </w:pPr>
      <w:r>
        <w:rPr>
          <w:rFonts w:ascii="Calibri" w:hAnsi="Calibri"/>
        </w:rPr>
        <w:t>Sources institutionnelles et primaires</w:t>
      </w:r>
    </w:p>
    <w:p>
      <w:pPr>
        <w:pStyle w:val="ListBullet"/>
      </w:pPr>
      <w:r>
        <w:rPr>
          <w:rFonts w:ascii="Calibri" w:hAnsi="Calibri"/>
        </w:rPr>
        <w:t>Parliament of Sri Lanka, résultats des élections générales 2024 : JJB/NPP 159 sièges.</w:t>
      </w:r>
    </w:p>
    <w:p>
      <w:pPr>
        <w:pStyle w:val="ListBullet"/>
      </w:pPr>
      <w:r>
        <w:rPr>
          <w:rFonts w:ascii="Calibri" w:hAnsi="Calibri"/>
        </w:rPr>
        <w:t>Presidential Secretariat, profil du président Anura Kumara Dissanayake.</w:t>
      </w:r>
    </w:p>
    <w:p>
      <w:pPr>
        <w:pStyle w:val="ListBullet"/>
      </w:pPr>
      <w:r>
        <w:rPr>
          <w:rFonts w:ascii="Calibri" w:hAnsi="Calibri"/>
        </w:rPr>
        <w:t>Prime Minister's Office, profil de Harini Amarasuriya.</w:t>
      </w:r>
    </w:p>
    <w:p>
      <w:pPr>
        <w:pStyle w:val="ListBullet"/>
      </w:pPr>
      <w:r>
        <w:rPr>
          <w:rFonts w:ascii="Calibri" w:hAnsi="Calibri"/>
        </w:rPr>
        <w:t>IMF, Combined Fifth and Sixth Reviews under the EFF, 27 mai 2026.</w:t>
      </w:r>
    </w:p>
    <w:p>
      <w:pPr>
        <w:pStyle w:val="ListBullet"/>
      </w:pPr>
      <w:r>
        <w:rPr>
          <w:rFonts w:ascii="Calibri" w:hAnsi="Calibri"/>
        </w:rPr>
        <w:t>World Bank, \</w:t>
      </w:r>
      <w:r>
        <w:rPr>
          <w:rFonts w:ascii="Calibri" w:hAnsi="Calibri"/>
          <w:i/>
        </w:rPr>
        <w:t>Sri Lanka Development Update 2025\</w:t>
      </w:r>
      <w:r>
        <w:rPr>
          <w:rFonts w:ascii="Calibri" w:hAnsi="Calibri"/>
        </w:rPr>
        <w:t xml:space="preserve"> et mises à jour post-crise.</w:t>
      </w:r>
    </w:p>
    <w:p>
      <w:pPr>
        <w:pStyle w:val="ListBullet"/>
      </w:pPr>
      <w:r>
        <w:rPr>
          <w:rFonts w:ascii="Calibri" w:hAnsi="Calibri"/>
        </w:rPr>
        <w:t>Department of Archaeology Sri Lanka, histoire institutionnelle : utile pour l'étude de la patrimonialisation post-indépendance.</w:t>
      </w:r>
    </w:p>
    <w:p>
      <w:pPr>
        <w:pStyle w:val="ListBullet"/>
      </w:pPr>
      <w:r>
        <w:rPr>
          <w:rFonts w:ascii="Calibri" w:hAnsi="Calibri"/>
        </w:rPr>
        <w:t>UNESCO World Heritage Centre, Sri Lanka : huit biens inscrits et histoire de la mise en patrimoine depuis 1980.</w:t>
      </w:r>
    </w:p>
    <w:p>
      <w:pPr>
        <w:pStyle w:val="Heading2"/>
      </w:pPr>
      <w:r>
        <w:rPr>
          <w:rFonts w:ascii="Calibri" w:hAnsi="Calibri"/>
        </w:rPr>
        <w:t>Navigation</w:t>
      </w:r>
    </w:p>
    <w:p>
      <w:pPr>
        <w:pStyle w:val="ListBullet"/>
      </w:pPr>
      <w:r>
        <w:rPr>
          <w:rFonts w:ascii="Calibri" w:hAnsi="Calibri"/>
        </w:rPr>
        <w:t>Wikipédia, « History of Sri Lanka (1948-present) » : index chronologique et piste bibliographique uniquement ; les causalités ont été remontées vers sources académiques/primaires.</w:t>
      </w:r>
    </w:p>
    <w:p>
      <w:pPr>
        <w:pStyle w:val="Heading1"/>
      </w:pPr>
      <w:r>
        <w:rPr>
          <w:rFonts w:ascii="Calibri" w:hAnsi="Calibri"/>
        </w:rPr>
        <w:t>Repères documentaires et liens</w:t>
      </w:r>
    </w:p>
    <w:p>
      <w:r>
        <w:rPr>
          <w:rFonts w:ascii="Calibri" w:hAnsi="Calibri"/>
        </w:rPr>
        <w:t>Ces liens matérialisent les principales sources d’ancrage. Wikipédia est utilisé comme navigateur de complétude, jamais comme source unique d’une causalité majeure.</w:t>
      </w:r>
    </w:p>
    <w:p>
      <w:pPr>
        <w:pStyle w:val="ListBullet"/>
      </w:pPr>
      <w:hyperlink r:id="rId11">
        <w:r>
          <w:rPr>
            <w:color w:val="2E74B5"/>
            <w:u w:val="single"/>
          </w:rPr>
          <w:t>Cambridge — Constitutional Struggle in Sri Lanka</w:t>
        </w:r>
      </w:hyperlink>
    </w:p>
    <w:p>
      <w:pPr>
        <w:pStyle w:val="ListBullet"/>
      </w:pPr>
      <w:hyperlink r:id="rId12">
        <w:r>
          <w:rPr>
            <w:color w:val="2E74B5"/>
            <w:u w:val="single"/>
          </w:rPr>
          <w:t>Cambridge — Constitutional Politics and Crisis in Sri Lanka</w:t>
        </w:r>
      </w:hyperlink>
    </w:p>
    <w:p>
      <w:pPr>
        <w:pStyle w:val="ListBullet"/>
      </w:pPr>
      <w:hyperlink r:id="rId13">
        <w:r>
          <w:rPr>
            <w:color w:val="2E74B5"/>
            <w:u w:val="single"/>
          </w:rPr>
          <w:t>Cambridge — Thoroughly Modern Revolutionaries: The JVP in Sri Lanka</w:t>
        </w:r>
      </w:hyperlink>
    </w:p>
    <w:p>
      <w:pPr>
        <w:pStyle w:val="ListBullet"/>
      </w:pPr>
      <w:hyperlink r:id="rId14">
        <w:r>
          <w:rPr>
            <w:color w:val="2E74B5"/>
            <w:u w:val="single"/>
          </w:rPr>
          <w:t>Cambridge — Sri Lanka Ethnic Conflict: Autonomy-Separation Dialectic</w:t>
        </w:r>
      </w:hyperlink>
    </w:p>
    <w:p>
      <w:pPr>
        <w:pStyle w:val="ListBullet"/>
      </w:pPr>
      <w:hyperlink r:id="rId15">
        <w:r>
          <w:rPr>
            <w:color w:val="2E74B5"/>
            <w:u w:val="single"/>
          </w:rPr>
          <w:t>Cambridge — Colombo Port City Project</w:t>
        </w:r>
      </w:hyperlink>
    </w:p>
    <w:p>
      <w:pPr>
        <w:pStyle w:val="ListBullet"/>
      </w:pPr>
      <w:hyperlink r:id="rId16">
        <w:r>
          <w:rPr>
            <w:color w:val="2E74B5"/>
            <w:u w:val="single"/>
          </w:rPr>
          <w:t>Parliament of Sri Lanka — General Election 2024 Results</w:t>
        </w:r>
      </w:hyperlink>
    </w:p>
    <w:p>
      <w:pPr>
        <w:pStyle w:val="ListBullet"/>
      </w:pPr>
      <w:hyperlink r:id="rId17">
        <w:r>
          <w:rPr>
            <w:color w:val="2E74B5"/>
            <w:u w:val="single"/>
          </w:rPr>
          <w:t>Presidential Secretariat — Current President</w:t>
        </w:r>
      </w:hyperlink>
    </w:p>
    <w:p>
      <w:pPr>
        <w:pStyle w:val="ListBullet"/>
      </w:pPr>
      <w:hyperlink r:id="rId18">
        <w:r>
          <w:rPr>
            <w:color w:val="2E74B5"/>
            <w:u w:val="single"/>
          </w:rPr>
          <w:t>Prime Minister’s Office — Profile</w:t>
        </w:r>
      </w:hyperlink>
    </w:p>
    <w:p>
      <w:pPr>
        <w:pStyle w:val="ListBullet"/>
      </w:pPr>
      <w:hyperlink r:id="rId19">
        <w:r>
          <w:rPr>
            <w:color w:val="2E74B5"/>
            <w:u w:val="single"/>
          </w:rPr>
          <w:t>IMF — Combined Fifth and Sixth Reviews, 27 May 2026</w:t>
        </w:r>
      </w:hyperlink>
    </w:p>
    <w:p>
      <w:pPr>
        <w:pStyle w:val="ListBullet"/>
      </w:pPr>
      <w:hyperlink r:id="rId20">
        <w:r>
          <w:rPr>
            <w:color w:val="2E74B5"/>
            <w:u w:val="single"/>
          </w:rPr>
          <w:t>World Bank — Sri Lanka Development Update 2025</w:t>
        </w:r>
      </w:hyperlink>
    </w:p>
    <w:p>
      <w:pPr>
        <w:pStyle w:val="ListBullet"/>
      </w:pPr>
      <w:hyperlink r:id="rId21">
        <w:r>
          <w:rPr>
            <w:color w:val="2E74B5"/>
            <w:u w:val="single"/>
          </w:rPr>
          <w:t>Department of Archaeology Sri Lanka — History</w:t>
        </w:r>
      </w:hyperlink>
    </w:p>
    <w:p>
      <w:pPr>
        <w:pStyle w:val="ListBullet"/>
      </w:pPr>
      <w:hyperlink r:id="rId22">
        <w:r>
          <w:rPr>
            <w:color w:val="2E74B5"/>
            <w:u w:val="single"/>
          </w:rPr>
          <w:t>UNESCO World Heritage Centre — Sri Lanka</w:t>
        </w:r>
      </w:hyperlink>
    </w:p>
    <w:p>
      <w:pPr>
        <w:pStyle w:val="ListBullet"/>
      </w:pPr>
      <w:hyperlink r:id="rId23">
        <w:r>
          <w:rPr>
            <w:color w:val="2E74B5"/>
            <w:u w:val="single"/>
          </w:rPr>
          <w:t>Wikipedia — History of Sri Lanka (1948-present), navigation only</w:t>
        </w:r>
      </w:hyperlink>
      <w:r>
        <w:rPr>
          <w:rFonts w:ascii="Calibri" w:hAnsi="Calibri"/>
        </w:rPr>
        <w:t>)</w:t>
      </w:r>
    </w:p>
    <w:tbl>
      <w:tblPr>
        <w:tblW w:type="dxa" w:w="9120"/>
        <w:tblLayout w:type="fixed"/>
        <w:tblLook w:firstColumn="1" w:firstRow="1" w:lastColumn="0" w:lastRow="0" w:noHBand="0" w:noVBand="1" w:val="04A0"/>
        <w:tblInd w:w="120" w:type="dxa"/>
      </w:tblPr>
      <w:tblGrid>
        <w:gridCol w:w="9120"/>
      </w:tblGrid>
      <w:tr>
        <w:tc>
          <w:tcPr>
            <w:tcW w:type="dxa" w:w="9120"/>
            <w:tcMar>
              <w:top w:w="80" w:type="dxa"/>
              <w:start w:w="120" w:type="dxa"/>
              <w:bottom w:w="80" w:type="dxa"/>
              <w:end w:w="120" w:type="dxa"/>
            </w:tcMar>
            <w:shd w:fill="F4F6F9"/>
            <w:tcBorders>
              <w:left w:val="single" w:sz="18" w:color="2E74B5"/>
            </w:tcBorders>
          </w:tcPr>
          <w:p>
            <w:pPr>
              <w:spacing w:after="80"/>
            </w:pPr>
            <w:r>
              <w:rPr>
                <w:rFonts w:ascii="Calibri" w:hAnsi="Calibri"/>
                <w:b/>
              </w:rPr>
              <w:t>LIMITE TEMPORELLE</w:t>
            </w:r>
          </w:p>
          <w:p>
            <w:pPr>
              <w:spacing w:after="80"/>
            </w:pPr>
            <w:r>
              <w:rPr>
                <w:rFonts w:ascii="Calibri" w:hAnsi="Calibri"/>
                <w:b/>
              </w:rPr>
              <w:t>Les informations concernant la présidence, le gouvernement, la majorité parlementaire et le programme FMI sont datées du 14 août 2026. Elles doivent être réactualisées lors d’une future réédition.</w:t>
            </w:r>
          </w:p>
        </w:tc>
      </w:tr>
    </w:tbl>
    <w:p>
      <w:pPr>
        <w:spacing w:after="20"/>
      </w:pPr>
    </w:p>
    <w:p>
      <w:pPr>
        <w:pStyle w:val="Heading2"/>
      </w:pPr>
      <w:r>
        <w:rPr>
          <w:rFonts w:ascii="Calibri" w:hAnsi="Calibri"/>
        </w:rPr>
        <w:t>Légende des encadrés</w:t>
      </w:r>
    </w:p>
    <w:p>
      <w:r>
        <w:rPr>
          <w:rFonts w:ascii="Calibri" w:hAnsi="Calibri"/>
        </w:rPr>
        <w:t>La couleur facilite le repérage, mais le symbole et le libellé portent le sens en noir et blanc. Les numéros ne sont pas un ordre de priorité.</w:t>
      </w:r>
    </w:p>
    <w:p>
      <w:pPr>
        <w:pStyle w:val="ListBullet"/>
      </w:pPr>
      <w:r>
        <w:rPr>
          <w:rFonts w:ascii="Calibri" w:hAnsi="Calibri"/>
        </w:rPr>
        <w:t xml:space="preserve">① </w:t>
      </w:r>
      <w:r>
        <w:rPr>
          <w:rFonts w:ascii="Calibri" w:hAnsi="Calibri"/>
          <w:b/>
        </w:rPr>
        <w:t>Fausse piste</w:t>
      </w:r>
      <w:r>
        <w:rPr>
          <w:rFonts w:ascii="Calibri" w:hAnsi="Calibri"/>
        </w:rPr>
        <w:t xml:space="preserve"> — Question intuitive à tester puis corriger.</w:t>
      </w:r>
    </w:p>
    <w:p>
      <w:pPr>
        <w:pStyle w:val="ListBullet"/>
      </w:pPr>
      <w:r>
        <w:rPr>
          <w:rFonts w:ascii="Calibri" w:hAnsi="Calibri"/>
        </w:rPr>
        <w:t xml:space="preserve">② </w:t>
      </w:r>
      <w:r>
        <w:rPr>
          <w:rFonts w:ascii="Calibri" w:hAnsi="Calibri"/>
          <w:b/>
        </w:rPr>
        <w:t>Petit détour</w:t>
      </w:r>
      <w:r>
        <w:rPr>
          <w:rFonts w:ascii="Calibri" w:hAnsi="Calibri"/>
        </w:rPr>
        <w:t xml:space="preserve"> — Détour bref qui éclaire le fil principal.</w:t>
      </w:r>
    </w:p>
    <w:p>
      <w:pPr>
        <w:pStyle w:val="ListBullet"/>
      </w:pPr>
      <w:r>
        <w:rPr>
          <w:rFonts w:ascii="Calibri" w:hAnsi="Calibri"/>
        </w:rPr>
        <w:t xml:space="preserve">③ </w:t>
      </w:r>
      <w:r>
        <w:rPr>
          <w:rFonts w:ascii="Calibri" w:hAnsi="Calibri"/>
          <w:b/>
        </w:rPr>
        <w:t>Dézoom</w:t>
      </w:r>
      <w:r>
        <w:rPr>
          <w:rFonts w:ascii="Calibri" w:hAnsi="Calibri"/>
        </w:rPr>
        <w:t xml:space="preserve"> — Changement d’échelle géographique ou historique.</w:t>
      </w:r>
    </w:p>
    <w:p>
      <w:pPr>
        <w:pStyle w:val="ListBullet"/>
      </w:pPr>
      <w:r>
        <w:rPr>
          <w:rFonts w:ascii="Calibri" w:hAnsi="Calibri"/>
        </w:rPr>
        <w:t xml:space="preserve">④ </w:t>
      </w:r>
      <w:r>
        <w:rPr>
          <w:rFonts w:ascii="Calibri" w:hAnsi="Calibri"/>
          <w:b/>
        </w:rPr>
        <w:t>Mais aussi</w:t>
      </w:r>
      <w:r>
        <w:rPr>
          <w:rFonts w:ascii="Calibri" w:hAnsi="Calibri"/>
        </w:rPr>
        <w:t xml:space="preserve"> — Dimension complémentaire utile au mécanisme principal.</w:t>
      </w:r>
    </w:p>
    <w:p>
      <w:pPr>
        <w:pStyle w:val="ListBullet"/>
      </w:pPr>
      <w:r>
        <w:rPr>
          <w:rFonts w:ascii="Calibri" w:hAnsi="Calibri"/>
        </w:rPr>
        <w:t xml:space="preserve">⑤ </w:t>
      </w:r>
      <w:r>
        <w:rPr>
          <w:rFonts w:ascii="Calibri" w:hAnsi="Calibri"/>
          <w:b/>
        </w:rPr>
        <w:t>Point de méthode</w:t>
      </w:r>
      <w:r>
        <w:rPr>
          <w:rFonts w:ascii="Calibri" w:hAnsi="Calibri"/>
        </w:rPr>
        <w:t xml:space="preserve"> — Méthode historique lue par le lecteur : dater, attribuer, comparer une source.</w:t>
      </w:r>
    </w:p>
    <w:p>
      <w:pPr>
        <w:pStyle w:val="ListBullet"/>
      </w:pPr>
      <w:r>
        <w:rPr>
          <w:rFonts w:ascii="Calibri" w:hAnsi="Calibri"/>
        </w:rPr>
        <w:t xml:space="preserve">⑥ </w:t>
      </w:r>
      <w:r>
        <w:rPr>
          <w:rFonts w:ascii="Calibri" w:hAnsi="Calibri"/>
          <w:b/>
        </w:rPr>
        <w:t>Personnage</w:t>
      </w:r>
      <w:r>
        <w:rPr>
          <w:rFonts w:ascii="Calibri" w:hAnsi="Calibri"/>
        </w:rPr>
        <w:t xml:space="preserve"> — Personnage replacé dans son rôle historique.</w:t>
      </w:r>
    </w:p>
    <w:p>
      <w:pPr>
        <w:pStyle w:val="ListBullet"/>
      </w:pPr>
      <w:r>
        <w:rPr>
          <w:rFonts w:ascii="Calibri" w:hAnsi="Calibri"/>
        </w:rPr>
        <w:t xml:space="preserve">⑦ </w:t>
      </w:r>
      <w:r>
        <w:rPr>
          <w:rFonts w:ascii="Calibri" w:hAnsi="Calibri"/>
          <w:b/>
        </w:rPr>
        <w:t>Objet / terrain</w:t>
      </w:r>
      <w:r>
        <w:rPr>
          <w:rFonts w:ascii="Calibri" w:hAnsi="Calibri"/>
        </w:rPr>
        <w:t xml:space="preserve"> — Objet, inscription, monument ou indice de terrain.</w:t>
      </w:r>
    </w:p>
    <w:p>
      <w:pPr>
        <w:pStyle w:val="ListBullet"/>
      </w:pPr>
      <w:r>
        <w:rPr>
          <w:rFonts w:ascii="Calibri" w:hAnsi="Calibri"/>
        </w:rPr>
        <w:t xml:space="preserve">⑧ </w:t>
      </w:r>
      <w:r>
        <w:rPr>
          <w:rFonts w:ascii="Calibri" w:hAnsi="Calibri"/>
          <w:b/>
        </w:rPr>
        <w:t>Comparaison</w:t>
      </w:r>
      <w:r>
        <w:rPr>
          <w:rFonts w:ascii="Calibri" w:hAnsi="Calibri"/>
        </w:rPr>
        <w:t xml:space="preserve"> — Comparaison contrôlée avec limites explicites.</w:t>
      </w:r>
    </w:p>
    <w:p>
      <w:pPr>
        <w:pStyle w:val="ListBullet"/>
      </w:pPr>
      <w:r>
        <w:rPr>
          <w:rFonts w:ascii="Calibri" w:hAnsi="Calibri"/>
        </w:rPr>
        <w:t xml:space="preserve">⑨ </w:t>
      </w:r>
      <w:r>
        <w:rPr>
          <w:rFonts w:ascii="Calibri" w:hAnsi="Calibri"/>
          <w:b/>
        </w:rPr>
        <w:t>Fil rouge</w:t>
      </w:r>
      <w:r>
        <w:rPr>
          <w:rFonts w:ascii="Calibri" w:hAnsi="Calibri"/>
        </w:rPr>
        <w:t xml:space="preserve"> — Fil rouge : reprise narrative d’un fait déjà noué.</w:t>
      </w:r>
    </w:p>
    <w:p>
      <w:pPr>
        <w:pStyle w:val="ListBullet"/>
      </w:pPr>
      <w:r>
        <w:rPr>
          <w:rFonts w:ascii="Calibri" w:hAnsi="Calibri"/>
        </w:rPr>
        <w:t xml:space="preserve">⑩ </w:t>
      </w:r>
      <w:r>
        <w:rPr>
          <w:rFonts w:ascii="Calibri" w:hAnsi="Calibri"/>
          <w:b/>
        </w:rPr>
        <w:t>Focus analytique</w:t>
      </w:r>
      <w:r>
        <w:rPr>
          <w:rFonts w:ascii="Calibri" w:hAnsi="Calibri"/>
        </w:rPr>
        <w:t xml:space="preserve"> — Question analytique, contrastes, mécanismes et payoff.</w:t>
      </w:r>
    </w:p>
    <w:p>
      <w:r>
        <w:rPr>
          <w:rFonts w:ascii="Calibri" w:hAnsi="Calibri"/>
          <w:b/>
        </w:rPr>
        <w:t>Point de méthode</w:t>
      </w:r>
      <w:r>
        <w:rPr>
          <w:rFonts w:ascii="Calibri" w:hAnsi="Calibri"/>
        </w:rPr>
        <w:t xml:space="preserve"> désigne ici une méthode historique utile au lecteur ; il ne décrit jamais le processus de production, les runs, les statuts ou les versions du document.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36C"/>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36C"/>
        <w:sz w:val="18"/>
      </w:rPr>
      <w:t>Sri Lanka · 1948 à 2026 ·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2E74B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usalCallout">
    <w:name w:val="Causal Callout"/>
    <w:pPr>
      <w:keepLines/>
      <w:spacing w:before="120" w:after="200" w:line="290" w:lineRule="auto"/>
      <w:ind w:left="288" w:right="173"/>
    </w:pPr>
    <w:rPr>
      <w:rFonts w:ascii="Calibri" w:hAnsi="Calibri"/>
      <w:color w:val="20374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mbridge.org/core/journals/federal-law-review/article/constitutional-struggle-in-sri-lanka/F405466AC2FDD71E521C8E0798645468" TargetMode="External"/><Relationship Id="rId12" Type="http://schemas.openxmlformats.org/officeDocument/2006/relationships/hyperlink" Target="https://resolve.cambridge.org/core/services/aop-cambridge-core/content/view/79F4789211365EF56A5F58A9667D17A2/9780511750755c5_p103-135_CBO.pdf/constitutional-politics-and-crisis-in-sri-lanka.pdf" TargetMode="External"/><Relationship Id="rId13" Type="http://schemas.openxmlformats.org/officeDocument/2006/relationships/hyperlink" Target="https://www.cambridge.org/core/journals/modern-asian-studies/article/thoroughly-modern-revolutionaries-the-jvp-in-sri-lanka/B0A26D65FF21D3482B08E9C9E1236415" TargetMode="External"/><Relationship Id="rId14" Type="http://schemas.openxmlformats.org/officeDocument/2006/relationships/hyperlink" Target="https://www.cambridge.org/core/books/autonomy-and-armed-separatism-in-south-and-southeast-asia/sri-lankas-ethnic-conflict-the-autonomyseparation-dialectic/EABDCC838E4DF0FAEA6BF878F2132CF7" TargetMode="External"/><Relationship Id="rId15" Type="http://schemas.openxmlformats.org/officeDocument/2006/relationships/hyperlink" Target="https://www.cambridge.org/core/books/casebook-on-chinese-outbound-investment/colombo-port-city-project/C03C835FF2E0E59CA3E5C6C4C70DF857" TargetMode="External"/><Relationship Id="rId16" Type="http://schemas.openxmlformats.org/officeDocument/2006/relationships/hyperlink" Target="https://www.parliament.lk/en/election-2024/results" TargetMode="External"/><Relationship Id="rId17" Type="http://schemas.openxmlformats.org/officeDocument/2006/relationships/hyperlink" Target="https://www.presidentsoffice.gov.lk/president/current/" TargetMode="External"/><Relationship Id="rId18" Type="http://schemas.openxmlformats.org/officeDocument/2006/relationships/hyperlink" Target="https://www.pmoffice.gov.lk/PMprofile.php" TargetMode="External"/><Relationship Id="rId19" Type="http://schemas.openxmlformats.org/officeDocument/2006/relationships/hyperlink" Target="https://www.imf.org/en/news/articles/2026/05/27/pr26172-sri-lanka-imf-completes-combined-5th-and-6th-reviews-under-eff" TargetMode="External"/><Relationship Id="rId20" Type="http://schemas.openxmlformats.org/officeDocument/2006/relationships/hyperlink" Target="https://www.worldbank.org/en/country/srilanka/publication/sri-lanka-development-update-2025" TargetMode="External"/><Relationship Id="rId21" Type="http://schemas.openxmlformats.org/officeDocument/2006/relationships/hyperlink" Target="https://archaeology.gov.lk/index.php/about/history" TargetMode="External"/><Relationship Id="rId22" Type="http://schemas.openxmlformats.org/officeDocument/2006/relationships/hyperlink" Target="https://whc.unesco.org/en/statesparties/lk" TargetMode="External"/><Relationship Id="rId23" Type="http://schemas.openxmlformats.org/officeDocument/2006/relationships/hyperlink" Target="https://en.wikipedia.org/wiki/History_of_Sri_Lanka_(1948%E2%80%93pres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Lanka — reconstruire l’État après 1948</dc:title>
  <dc:subject>V4 post-1948 matérialisée et relue chapitre par chapitre</dc:subject>
  <dc:creator>Projet tourisme-etude-historico-geographique</dc:creator>
  <cp:keywords>Sri Lanka, histoire, géographie, indépendance, guerre civile, reader V4</cp:keywords>
  <dc:description>Rendered from report_v4_full.md; evidence and composition remain separate.</dc:description>
  <cp:lastModifiedBy/>
  <cp:revision>1</cp:revision>
  <dcterms:created xsi:type="dcterms:W3CDTF">2013-12-23T23:15:00Z</dcterms:created>
  <dcterms:modified xsi:type="dcterms:W3CDTF">2013-12-23T23:15:00Z</dcterms:modified>
  <cp:category/>
</cp:coreProperties>
</file>