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8"/>
          <w:szCs w:val="38"/>
        </w:rPr>
        <w:t xml:space="preserve">PHASE 9: ENSEMBLE MODELING</w:t>
      </w:r>
    </w:p>
    <w:p>
      <w:pPr>
        <w:spacing w:after="300"/>
        <w:jc w:val="center"/>
      </w:pPr>
      <w:r>
        <w:rPr>
          <w:i/>
          <w:iCs/>
          <w:color w:val="555555"/>
          <w:sz w:val="24"/>
          <w:szCs w:val="24"/>
        </w:rPr>
        <w:t xml:space="preserve">Complete Writeup for Research Paper</w:t>
      </w:r>
    </w:p>
    <w:p>
      <w:pPr>
        <w:pBdr>
          <w:bottom w:val="single" w:color="999999" w:sz="6" w:space="1"/>
        </w:pBdr>
        <w:spacing w:after="200"/>
      </w:pPr>
    </w:p>
    <w:p>
      <w:pPr>
        <w:pStyle w:val="Heading1"/>
        <w:spacing w:after="160" w:before="320"/>
      </w:pPr>
      <w:r>
        <w:rPr>
          <w:b/>
          <w:bCs/>
          <w:color w:val="1F4E79"/>
          <w:sz w:val="30"/>
          <w:szCs w:val="30"/>
        </w:rPr>
        <w:t xml:space="preserve">Ensemble Modeling</w:t>
      </w:r>
    </w:p>
    <w:p>
      <w:pPr>
        <w:pStyle w:val="Heading2"/>
        <w:spacing w:after="120" w:before="260"/>
      </w:pPr>
      <w:r>
        <w:rPr>
          <w:b/>
          <w:bCs/>
          <w:color w:val="1F4E79"/>
          <w:sz w:val="26"/>
          <w:szCs w:val="26"/>
        </w:rPr>
        <w:t xml:space="preserve">1. Purpose of Ensemble Modeling</w:t>
      </w:r>
    </w:p>
    <w:p>
      <w:pPr>
        <w:spacing w:after="160"/>
      </w:pPr>
      <w:r>
        <w:rPr>
          <w:sz w:val="22"/>
          <w:szCs w:val="22"/>
        </w:rPr>
        <w:t xml:space="preserve">After developing both global (Phase 7) and local (Phase 8) machine learning models, the next step was to explore whether combining multiple models could further improve predictive performance. Ensemble modeling combines predictions from different models to create a more robust and accurate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Purpose</w:t>
            </w:r>
          </w:p>
        </w:tc>
        <w:tc>
          <w:tcPr>
            <w:tcW w:type="dxa" w:w="64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Explanation</w:t>
            </w:r>
          </w:p>
        </w:tc>
      </w:tr>
      <w:tr>
        <w:tc>
          <w:tcPr>
            <w:tcW w:type="dxa" w:w="2900"/>
            <w:tcMar>
              <w:top w:type="dxa" w:w="70"/>
              <w:left w:type="dxa" w:w="100"/>
              <w:bottom w:type="dxa" w:w="70"/>
              <w:right w:type="dxa" w:w="100"/>
            </w:tcMar>
            <w:vAlign w:val="center"/>
          </w:tcPr>
          <w:p>
            <w:pPr>
              <w:jc w:val="left"/>
            </w:pPr>
            <w:r>
              <w:rPr>
                <w:b/>
                <w:bCs/>
                <w:i w:val="false"/>
                <w:iCs w:val="false"/>
                <w:color w:val="000000"/>
                <w:sz w:val="20"/>
                <w:szCs w:val="20"/>
              </w:rPr>
              <w:t xml:space="preserve">Reduce prediction error</w:t>
            </w:r>
          </w:p>
        </w:tc>
        <w:tc>
          <w:tcPr>
            <w:tcW w:type="dxa" w:w="646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Different models make different errors; combining them cancels out individual biases</w:t>
            </w:r>
          </w:p>
        </w:tc>
      </w:tr>
      <w:tr>
        <w:tc>
          <w:tcPr>
            <w:tcW w:type="dxa" w:w="290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Improve robustness</w:t>
            </w:r>
          </w:p>
        </w:tc>
        <w:tc>
          <w:tcPr>
            <w:tcW w:type="dxa" w:w="646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Ensemble models are less sensitive to the limitations of any single model</w:t>
            </w:r>
          </w:p>
        </w:tc>
      </w:tr>
      <w:tr>
        <w:tc>
          <w:tcPr>
            <w:tcW w:type="dxa" w:w="2900"/>
            <w:tcMar>
              <w:top w:type="dxa" w:w="70"/>
              <w:left w:type="dxa" w:w="100"/>
              <w:bottom w:type="dxa" w:w="70"/>
              <w:right w:type="dxa" w:w="100"/>
            </w:tcMar>
            <w:vAlign w:val="center"/>
          </w:tcPr>
          <w:p>
            <w:pPr>
              <w:jc w:val="left"/>
            </w:pPr>
            <w:r>
              <w:rPr>
                <w:b/>
                <w:bCs/>
                <w:i w:val="false"/>
                <w:iCs w:val="false"/>
                <w:color w:val="000000"/>
                <w:sz w:val="20"/>
                <w:szCs w:val="20"/>
              </w:rPr>
              <w:t xml:space="preserve">Increase reliability</w:t>
            </w:r>
          </w:p>
        </w:tc>
        <w:tc>
          <w:tcPr>
            <w:tcW w:type="dxa" w:w="646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Combining models often produces more stable and reliable predictions</w:t>
            </w:r>
          </w:p>
        </w:tc>
      </w:tr>
      <w:tr>
        <w:tc>
          <w:tcPr>
            <w:tcW w:type="dxa" w:w="290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Optimize performance</w:t>
            </w:r>
          </w:p>
        </w:tc>
        <w:tc>
          <w:tcPr>
            <w:tcW w:type="dxa" w:w="646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Weighted ensembles can be tuned to maximize predictive accuracy</w:t>
            </w:r>
          </w:p>
        </w:tc>
      </w:tr>
    </w:tbl>
    <w:p>
      <w:pPr>
        <w:spacing w:after="80"/>
      </w:pPr>
    </w:p>
    <w:p>
      <w:pPr>
        <w:spacing w:after="160"/>
      </w:pPr>
      <w:r>
        <w:rPr>
          <w:i/>
          <w:iCs/>
          <w:sz w:val="22"/>
          <w:szCs w:val="22"/>
        </w:rPr>
        <w:t xml:space="preserve">Conceptual Foundation: The ensemble approach is based on the principle that multiple models, each with different strengths and weaknesses, can collectively outperform any single model. This is analogous to seeking opinions from multiple experts rather than relying on a single expert's judgment.</w:t>
      </w:r>
    </w:p>
    <w:p>
      <w:pPr>
        <w:spacing w:after="120"/>
      </w:pPr>
    </w:p>
    <w:p>
      <w:pPr>
        <w:pStyle w:val="Heading2"/>
        <w:spacing w:after="120" w:before="260"/>
      </w:pPr>
      <w:r>
        <w:rPr>
          <w:b/>
          <w:bCs/>
          <w:color w:val="1F4E79"/>
          <w:sz w:val="26"/>
          <w:szCs w:val="26"/>
        </w:rPr>
        <w:t xml:space="preserve">2. Methodology</w:t>
      </w:r>
    </w:p>
    <w:p>
      <w:pPr>
        <w:pStyle w:val="Heading3"/>
        <w:spacing w:after="100" w:before="200"/>
      </w:pPr>
      <w:r>
        <w:rPr>
          <w:b/>
          <w:bCs/>
          <w:sz w:val="23"/>
          <w:szCs w:val="23"/>
        </w:rPr>
        <w:t xml:space="preserve">2.1 Models Used in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60"/>
        <w:gridCol w:w="3500"/>
      </w:tblGrid>
      <w:tr>
        <w:trPr>
          <w:tblHeader/>
        </w:trPr>
        <w:tc>
          <w:tcPr>
            <w:tcW w:type="dxa" w:w="21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Model</w:t>
            </w:r>
          </w:p>
        </w:tc>
        <w:tc>
          <w:tcPr>
            <w:tcW w:type="dxa" w:w="37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Description</w:t>
            </w:r>
          </w:p>
        </w:tc>
        <w:tc>
          <w:tcPr>
            <w:tcW w:type="dxa" w:w="35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Why Included</w:t>
            </w:r>
          </w:p>
        </w:tc>
      </w:tr>
      <w:tr>
        <w:tc>
          <w:tcPr>
            <w:tcW w:type="dxa" w:w="2100"/>
            <w:tcMar>
              <w:top w:type="dxa" w:w="70"/>
              <w:left w:type="dxa" w:w="100"/>
              <w:bottom w:type="dxa" w:w="70"/>
              <w:right w:type="dxa" w:w="100"/>
            </w:tcMar>
            <w:vAlign w:val="center"/>
          </w:tcPr>
          <w:p>
            <w:pPr>
              <w:jc w:val="left"/>
            </w:pPr>
            <w:r>
              <w:rPr>
                <w:b/>
                <w:bCs/>
                <w:i w:val="false"/>
                <w:iCs w:val="false"/>
                <w:color w:val="000000"/>
                <w:sz w:val="20"/>
                <w:szCs w:val="20"/>
              </w:rPr>
              <w:t xml:space="preserve">Random Forest</w:t>
            </w:r>
          </w:p>
        </w:tc>
        <w:tc>
          <w:tcPr>
            <w:tcW w:type="dxa" w:w="376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Ensemble of decision trees; handles non-linearity well</w:t>
            </w:r>
          </w:p>
        </w:tc>
        <w:tc>
          <w:tcPr>
            <w:tcW w:type="dxa" w:w="35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Best performing individual model from Phase 7</w:t>
            </w:r>
          </w:p>
        </w:tc>
      </w:tr>
      <w:tr>
        <w:tc>
          <w:tcPr>
            <w:tcW w:type="dxa" w:w="210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XGBoost</w:t>
            </w:r>
          </w:p>
        </w:tc>
        <w:tc>
          <w:tcPr>
            <w:tcW w:type="dxa" w:w="376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Gradient boosting; state-of-the-art performance</w:t>
            </w:r>
          </w:p>
        </w:tc>
        <w:tc>
          <w:tcPr>
            <w:tcW w:type="dxa" w:w="350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Strong alternative model with different architecture</w:t>
            </w:r>
          </w:p>
        </w:tc>
      </w:tr>
    </w:tbl>
    <w:p>
      <w:pPr>
        <w:spacing w:after="120"/>
      </w:pPr>
    </w:p>
    <w:p>
      <w:pPr>
        <w:pStyle w:val="Heading3"/>
        <w:spacing w:after="100" w:before="200"/>
      </w:pPr>
      <w:r>
        <w:rPr>
          <w:b/>
          <w:bCs/>
          <w:sz w:val="23"/>
          <w:szCs w:val="23"/>
        </w:rPr>
        <w:t xml:space="preserve">2.2 Ensemble Strategies</w:t>
      </w:r>
    </w:p>
    <w:p>
      <w:pPr>
        <w:spacing w:after="160"/>
      </w:pPr>
      <w:r>
        <w:rPr>
          <w:sz w:val="22"/>
          <w:szCs w:val="22"/>
        </w:rPr>
        <w:t xml:space="preserve">Two ensemble strategies were implemented and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4500"/>
      </w:tblGrid>
      <w:tr>
        <w:trPr>
          <w:tblHeader/>
        </w:trPr>
        <w:tc>
          <w:tcPr>
            <w:tcW w:type="dxa" w:w="18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Strategy</w:t>
            </w:r>
          </w:p>
        </w:tc>
        <w:tc>
          <w:tcPr>
            <w:tcW w:type="dxa" w:w="30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Description</w:t>
            </w:r>
          </w:p>
        </w:tc>
        <w:tc>
          <w:tcPr>
            <w:tcW w:type="dxa" w:w="45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Formula</w:t>
            </w:r>
          </w:p>
        </w:tc>
      </w:tr>
      <w:tr>
        <w:tc>
          <w:tcPr>
            <w:tcW w:type="dxa" w:w="1800"/>
            <w:tcMar>
              <w:top w:type="dxa" w:w="70"/>
              <w:left w:type="dxa" w:w="100"/>
              <w:bottom w:type="dxa" w:w="70"/>
              <w:right w:type="dxa" w:w="100"/>
            </w:tcMar>
            <w:vAlign w:val="center"/>
          </w:tcPr>
          <w:p>
            <w:pPr>
              <w:jc w:val="left"/>
            </w:pPr>
            <w:r>
              <w:rPr>
                <w:b/>
                <w:bCs/>
                <w:i w:val="false"/>
                <w:iCs w:val="false"/>
                <w:color w:val="000000"/>
                <w:sz w:val="20"/>
                <w:szCs w:val="20"/>
              </w:rPr>
              <w:t xml:space="preserve">Simple Average</w:t>
            </w:r>
          </w:p>
        </w:tc>
        <w:tc>
          <w:tcPr>
            <w:tcW w:type="dxa" w:w="306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Equal weight to both models</w:t>
            </w:r>
          </w:p>
        </w:tc>
        <w:tc>
          <w:tcPr>
            <w:tcW w:type="dxa" w:w="4500"/>
            <w:tcMar>
              <w:top w:type="dxa" w:w="70"/>
              <w:left w:type="dxa" w:w="100"/>
              <w:bottom w:type="dxa" w:w="70"/>
              <w:right w:type="dxa" w:w="100"/>
            </w:tcMar>
            <w:vAlign w:val="center"/>
          </w:tcPr>
          <w:p>
            <w:pPr>
              <w:jc w:val="left"/>
            </w:pPr>
            <w:r>
              <w:rPr>
                <w:rFonts w:ascii="Cambria Math" w:cs="Cambria Math" w:eastAsia="Cambria Math" w:hAnsi="Cambria Math"/>
                <w:b w:val="false"/>
                <w:bCs w:val="false"/>
                <w:i w:val="false"/>
                <w:iCs w:val="false"/>
                <w:color w:val="000000"/>
                <w:sz w:val="20"/>
                <w:szCs w:val="20"/>
              </w:rPr>
              <w:t xml:space="preserve">ŷ_ens = (ŷ_RF + ŷ_XGB) / 2</w:t>
            </w:r>
          </w:p>
        </w:tc>
      </w:tr>
      <w:tr>
        <w:tc>
          <w:tcPr>
            <w:tcW w:type="dxa" w:w="180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Weighted Average</w:t>
            </w:r>
          </w:p>
        </w:tc>
        <w:tc>
          <w:tcPr>
            <w:tcW w:type="dxa" w:w="306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Weights based on individual model performance</w:t>
            </w:r>
          </w:p>
        </w:tc>
        <w:tc>
          <w:tcPr>
            <w:tcW w:type="dxa" w:w="4500"/>
            <w:shd w:fill="DCE6F1" w:color="auto" w:val="clear"/>
            <w:tcMar>
              <w:top w:type="dxa" w:w="70"/>
              <w:left w:type="dxa" w:w="100"/>
              <w:bottom w:type="dxa" w:w="70"/>
              <w:right w:type="dxa" w:w="100"/>
            </w:tcMar>
            <w:vAlign w:val="center"/>
          </w:tcPr>
          <w:p>
            <w:pPr>
              <w:jc w:val="left"/>
            </w:pPr>
            <w:r>
              <w:rPr>
                <w:rFonts w:ascii="Cambria Math" w:cs="Cambria Math" w:eastAsia="Cambria Math" w:hAnsi="Cambria Math"/>
                <w:b w:val="false"/>
                <w:bCs w:val="false"/>
                <w:i w:val="false"/>
                <w:iCs w:val="false"/>
                <w:color w:val="000000"/>
                <w:sz w:val="20"/>
                <w:szCs w:val="20"/>
              </w:rPr>
              <w:t xml:space="preserve">ŷ_ens = w_RF·ŷ_RF + w_XGB·ŷ_XGB,  where w_RF + w_XGB = 1, w_i ≥ 0</w:t>
            </w:r>
          </w:p>
        </w:tc>
      </w:tr>
    </w:tbl>
    <w:p>
      <w:pPr>
        <w:spacing w:after="120"/>
      </w:pPr>
    </w:p>
    <w:p>
      <w:pPr>
        <w:pStyle w:val="Heading3"/>
        <w:spacing w:after="100" w:before="200"/>
      </w:pPr>
      <w:r>
        <w:rPr>
          <w:b/>
          <w:bCs/>
          <w:sz w:val="23"/>
          <w:szCs w:val="23"/>
        </w:rPr>
        <w:t xml:space="preserve">2.3 Weight Calculation</w:t>
      </w:r>
    </w:p>
    <w:p>
      <w:pPr>
        <w:spacing w:after="160"/>
      </w:pPr>
      <w:r>
        <w:rPr>
          <w:sz w:val="22"/>
          <w:szCs w:val="22"/>
        </w:rPr>
        <w:t xml:space="preserve">Weights were calculated inversely proportional to each model's Mean Absolute Error (MAE):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Formula</w:t>
            </w:r>
          </w:p>
        </w:tc>
        <w:tc>
          <w:tcPr>
            <w:tcW w:type="dxa" w:w="50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Description</w:t>
            </w:r>
          </w:p>
        </w:tc>
      </w:tr>
      <w:tr>
        <w:tc>
          <w:tcPr>
            <w:tcW w:type="dxa" w:w="4360"/>
            <w:tcMar>
              <w:top w:type="dxa" w:w="70"/>
              <w:left w:type="dxa" w:w="100"/>
              <w:bottom w:type="dxa" w:w="70"/>
              <w:right w:type="dxa" w:w="100"/>
            </w:tcMar>
            <w:vAlign w:val="center"/>
          </w:tcPr>
          <w:p>
            <w:pPr>
              <w:jc w:val="left"/>
            </w:pPr>
            <w:r>
              <w:rPr>
                <w:rFonts w:ascii="Cambria Math" w:cs="Cambria Math" w:eastAsia="Cambria Math" w:hAnsi="Cambria Math"/>
                <w:b w:val="false"/>
                <w:bCs w:val="false"/>
                <w:i w:val="false"/>
                <w:iCs w:val="false"/>
                <w:color w:val="000000"/>
                <w:sz w:val="20"/>
                <w:szCs w:val="20"/>
              </w:rPr>
              <w:t xml:space="preserve">w_RF = MAE_XGB / (MAE_RF + MAE_XGB)</w:t>
            </w:r>
          </w:p>
        </w:tc>
        <w:tc>
          <w:tcPr>
            <w:tcW w:type="dxa" w:w="50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Higher weight for better performing model</w:t>
            </w:r>
          </w:p>
        </w:tc>
      </w:tr>
      <w:tr>
        <w:tc>
          <w:tcPr>
            <w:tcW w:type="dxa" w:w="4360"/>
            <w:shd w:fill="DCE6F1" w:color="auto" w:val="clear"/>
            <w:tcMar>
              <w:top w:type="dxa" w:w="70"/>
              <w:left w:type="dxa" w:w="100"/>
              <w:bottom w:type="dxa" w:w="70"/>
              <w:right w:type="dxa" w:w="100"/>
            </w:tcMar>
            <w:vAlign w:val="center"/>
          </w:tcPr>
          <w:p>
            <w:pPr>
              <w:jc w:val="left"/>
            </w:pPr>
            <w:r>
              <w:rPr>
                <w:rFonts w:ascii="Cambria Math" w:cs="Cambria Math" w:eastAsia="Cambria Math" w:hAnsi="Cambria Math"/>
                <w:b w:val="false"/>
                <w:bCs w:val="false"/>
                <w:i w:val="false"/>
                <w:iCs w:val="false"/>
                <w:color w:val="000000"/>
                <w:sz w:val="20"/>
                <w:szCs w:val="20"/>
              </w:rPr>
              <w:t xml:space="preserve">w_XGB = MAE_RF / (MAE_RF + MAE_XGB)</w:t>
            </w:r>
          </w:p>
        </w:tc>
        <w:tc>
          <w:tcPr>
            <w:tcW w:type="dxa" w:w="500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Lower MAE → Higher weight</w:t>
            </w:r>
          </w:p>
        </w:tc>
      </w:tr>
    </w:tbl>
    <w:p>
      <w:pPr>
        <w:spacing w:after="120"/>
      </w:pPr>
    </w:p>
    <w:p>
      <w:pPr>
        <w:pStyle w:val="Heading3"/>
        <w:spacing w:after="100" w:before="200"/>
      </w:pPr>
      <w:r>
        <w:rPr>
          <w:b/>
          <w:bCs/>
          <w:sz w:val="23"/>
          <w:szCs w:val="23"/>
        </w:rPr>
        <w:t xml:space="preserve">2.4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Aspect</w:t>
            </w:r>
          </w:p>
        </w:tc>
        <w:tc>
          <w:tcPr>
            <w:tcW w:type="dxa" w:w="64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Details</w:t>
            </w:r>
          </w:p>
        </w:tc>
      </w:tr>
      <w:tr>
        <w:tc>
          <w:tcPr>
            <w:tcW w:type="dxa" w:w="2900"/>
            <w:tcMar>
              <w:top w:type="dxa" w:w="70"/>
              <w:left w:type="dxa" w:w="100"/>
              <w:bottom w:type="dxa" w:w="70"/>
              <w:right w:type="dxa" w:w="100"/>
            </w:tcMar>
            <w:vAlign w:val="center"/>
          </w:tcPr>
          <w:p>
            <w:pPr>
              <w:jc w:val="left"/>
            </w:pPr>
            <w:r>
              <w:rPr>
                <w:b/>
                <w:bCs/>
                <w:i w:val="false"/>
                <w:iCs w:val="false"/>
                <w:color w:val="000000"/>
                <w:sz w:val="20"/>
                <w:szCs w:val="20"/>
              </w:rPr>
              <w:t xml:space="preserve">Validation</w:t>
            </w:r>
          </w:p>
        </w:tc>
        <w:tc>
          <w:tcPr>
            <w:tcW w:type="dxa" w:w="646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Temporal holdout (2015–2021 train, 2022–2024 test)</w:t>
            </w:r>
          </w:p>
        </w:tc>
      </w:tr>
      <w:tr>
        <w:tc>
          <w:tcPr>
            <w:tcW w:type="dxa" w:w="290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Metrics</w:t>
            </w:r>
          </w:p>
        </w:tc>
        <w:tc>
          <w:tcPr>
            <w:tcW w:type="dxa" w:w="646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MAE (primary), RMSE, R²</w:t>
            </w:r>
          </w:p>
        </w:tc>
      </w:tr>
      <w:tr>
        <w:tc>
          <w:tcPr>
            <w:tcW w:type="dxa" w:w="2900"/>
            <w:tcMar>
              <w:top w:type="dxa" w:w="70"/>
              <w:left w:type="dxa" w:w="100"/>
              <w:bottom w:type="dxa" w:w="70"/>
              <w:right w:type="dxa" w:w="100"/>
            </w:tcMar>
            <w:vAlign w:val="center"/>
          </w:tcPr>
          <w:p>
            <w:pPr>
              <w:jc w:val="left"/>
            </w:pPr>
            <w:r>
              <w:rPr>
                <w:b/>
                <w:bCs/>
                <w:i w:val="false"/>
                <w:iCs w:val="false"/>
                <w:color w:val="000000"/>
                <w:sz w:val="20"/>
                <w:szCs w:val="20"/>
              </w:rPr>
              <w:t xml:space="preserve">Comparison</w:t>
            </w:r>
          </w:p>
        </w:tc>
        <w:tc>
          <w:tcPr>
            <w:tcW w:type="dxa" w:w="646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Ensemble vs individual models</w:t>
            </w:r>
          </w:p>
        </w:tc>
      </w:tr>
    </w:tbl>
    <w:p>
      <w:pPr>
        <w:spacing w:after="120"/>
      </w:pPr>
    </w:p>
    <w:p>
      <w:pPr>
        <w:pStyle w:val="Heading2"/>
        <w:spacing w:after="120" w:before="260"/>
      </w:pPr>
      <w:r>
        <w:rPr>
          <w:b/>
          <w:bCs/>
          <w:color w:val="1F4E79"/>
          <w:sz w:val="26"/>
          <w:szCs w:val="26"/>
        </w:rPr>
        <w:t xml:space="preserve">3. Results</w:t>
      </w:r>
    </w:p>
    <w:p>
      <w:pPr>
        <w:pStyle w:val="Heading3"/>
        <w:spacing w:after="100" w:before="200"/>
      </w:pPr>
      <w:r>
        <w:rPr>
          <w:b/>
          <w:bCs/>
          <w:sz w:val="23"/>
          <w:szCs w:val="23"/>
        </w:rPr>
        <w:t xml:space="preserve">3.1 Model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000"/>
        <w:gridCol w:w="1800"/>
        <w:gridCol w:w="1900"/>
        <w:gridCol w:w="1900"/>
      </w:tblGrid>
      <w:tr>
        <w:trPr>
          <w:tblHeader/>
        </w:trPr>
        <w:tc>
          <w:tcPr>
            <w:tcW w:type="dxa" w:w="17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Parameter</w:t>
            </w:r>
          </w:p>
        </w:tc>
        <w:tc>
          <w:tcPr>
            <w:tcW w:type="dxa" w:w="20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Random Forest MAE</w:t>
            </w:r>
          </w:p>
        </w:tc>
        <w:tc>
          <w:tcPr>
            <w:tcW w:type="dxa" w:w="18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XGBoost MAE</w:t>
            </w:r>
          </w:p>
        </w:tc>
        <w:tc>
          <w:tcPr>
            <w:tcW w:type="dxa" w:w="19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Ensemble MAE</w:t>
            </w:r>
          </w:p>
        </w:tc>
        <w:tc>
          <w:tcPr>
            <w:tcW w:type="dxa" w:w="19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Best Model</w:t>
            </w:r>
          </w:p>
        </w:tc>
      </w:tr>
      <w:tr>
        <w:tc>
          <w:tcPr>
            <w:tcW w:type="dxa" w:w="1760"/>
            <w:tcMar>
              <w:top w:type="dxa" w:w="70"/>
              <w:left w:type="dxa" w:w="100"/>
              <w:bottom w:type="dxa" w:w="70"/>
              <w:right w:type="dxa" w:w="100"/>
            </w:tcMar>
            <w:vAlign w:val="center"/>
          </w:tcPr>
          <w:p>
            <w:pPr>
              <w:jc w:val="left"/>
            </w:pPr>
            <w:r>
              <w:rPr>
                <w:b/>
                <w:bCs/>
                <w:i w:val="false"/>
                <w:iCs w:val="false"/>
                <w:color w:val="000000"/>
                <w:sz w:val="20"/>
                <w:szCs w:val="20"/>
              </w:rPr>
              <w:t xml:space="preserve">EC</w:t>
            </w:r>
          </w:p>
        </w:tc>
        <w:tc>
          <w:tcPr>
            <w:tcW w:type="dxa" w:w="20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8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r>
        <w:tc>
          <w:tcPr>
            <w:tcW w:type="dxa" w:w="176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Nitrate</w:t>
            </w:r>
          </w:p>
        </w:tc>
        <w:tc>
          <w:tcPr>
            <w:tcW w:type="dxa" w:w="20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8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r>
        <w:tc>
          <w:tcPr>
            <w:tcW w:type="dxa" w:w="1760"/>
            <w:tcMar>
              <w:top w:type="dxa" w:w="70"/>
              <w:left w:type="dxa" w:w="100"/>
              <w:bottom w:type="dxa" w:w="70"/>
              <w:right w:type="dxa" w:w="100"/>
            </w:tcMar>
            <w:vAlign w:val="center"/>
          </w:tcPr>
          <w:p>
            <w:pPr>
              <w:jc w:val="left"/>
            </w:pPr>
            <w:r>
              <w:rPr>
                <w:b/>
                <w:bCs/>
                <w:i w:val="false"/>
                <w:iCs w:val="false"/>
                <w:color w:val="000000"/>
                <w:sz w:val="20"/>
                <w:szCs w:val="20"/>
              </w:rPr>
              <w:t xml:space="preserve">Chloride</w:t>
            </w:r>
          </w:p>
        </w:tc>
        <w:tc>
          <w:tcPr>
            <w:tcW w:type="dxa" w:w="20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8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r>
        <w:tc>
          <w:tcPr>
            <w:tcW w:type="dxa" w:w="176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Sulfate</w:t>
            </w:r>
          </w:p>
        </w:tc>
        <w:tc>
          <w:tcPr>
            <w:tcW w:type="dxa" w:w="20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8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r>
        <w:tc>
          <w:tcPr>
            <w:tcW w:type="dxa" w:w="1760"/>
            <w:tcMar>
              <w:top w:type="dxa" w:w="70"/>
              <w:left w:type="dxa" w:w="100"/>
              <w:bottom w:type="dxa" w:w="70"/>
              <w:right w:type="dxa" w:w="100"/>
            </w:tcMar>
            <w:vAlign w:val="center"/>
          </w:tcPr>
          <w:p>
            <w:pPr>
              <w:jc w:val="left"/>
            </w:pPr>
            <w:r>
              <w:rPr>
                <w:b/>
                <w:bCs/>
                <w:i w:val="false"/>
                <w:iCs w:val="false"/>
                <w:color w:val="000000"/>
                <w:sz w:val="20"/>
                <w:szCs w:val="20"/>
              </w:rPr>
              <w:t xml:space="preserve">pH</w:t>
            </w:r>
          </w:p>
        </w:tc>
        <w:tc>
          <w:tcPr>
            <w:tcW w:type="dxa" w:w="20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8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1900"/>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bl>
    <w:p>
      <w:pPr>
        <w:spacing w:after="80"/>
      </w:pPr>
    </w:p>
    <w:p>
      <w:pPr>
        <w:spacing w:after="160"/>
      </w:pPr>
      <w:r>
        <w:rPr>
          <w:i/>
          <w:iCs/>
          <w:sz w:val="18"/>
          <w:szCs w:val="18"/>
        </w:rPr>
        <w:t xml:space="preserve">Note: Replace [X] with actual values from your Ensemble_Comparison.xlsx file.</w:t>
      </w:r>
    </w:p>
    <w:p>
      <w:pPr>
        <w:spacing w:after="120"/>
      </w:pPr>
    </w:p>
    <w:p>
      <w:pPr>
        <w:pStyle w:val="Heading3"/>
        <w:spacing w:after="100" w:before="200"/>
      </w:pPr>
      <w:r>
        <w:rPr>
          <w:b/>
          <w:bCs/>
          <w:sz w:val="23"/>
          <w:szCs w:val="23"/>
        </w:rPr>
        <w:t xml:space="preserve">3.2 Ensemble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600"/>
        <w:gridCol w:w="2400"/>
        <w:gridCol w:w="2400"/>
      </w:tblGrid>
      <w:tr>
        <w:trPr>
          <w:tblHeader/>
        </w:trPr>
        <w:tc>
          <w:tcPr>
            <w:tcW w:type="dxa" w:w="19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Parameter</w:t>
            </w:r>
          </w:p>
        </w:tc>
        <w:tc>
          <w:tcPr>
            <w:tcW w:type="dxa" w:w="26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Random Forest Weight</w:t>
            </w:r>
          </w:p>
        </w:tc>
        <w:tc>
          <w:tcPr>
            <w:tcW w:type="dxa" w:w="24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XGBoost Weight</w:t>
            </w:r>
          </w:p>
        </w:tc>
        <w:tc>
          <w:tcPr>
            <w:tcW w:type="dxa" w:w="24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Weighted Ensemble MAE</w:t>
            </w:r>
          </w:p>
        </w:tc>
      </w:tr>
      <w:tr>
        <w:tc>
          <w:tcPr>
            <w:tcW w:type="dxa" w:w="1960"/>
            <w:tcMar>
              <w:top w:type="dxa" w:w="70"/>
              <w:left w:type="dxa" w:w="100"/>
              <w:bottom w:type="dxa" w:w="70"/>
              <w:right w:type="dxa" w:w="100"/>
            </w:tcMar>
            <w:vAlign w:val="center"/>
          </w:tcPr>
          <w:p>
            <w:pPr>
              <w:jc w:val="left"/>
            </w:pPr>
            <w:r>
              <w:rPr>
                <w:b/>
                <w:bCs/>
                <w:i w:val="false"/>
                <w:iCs w:val="false"/>
                <w:color w:val="000000"/>
                <w:sz w:val="20"/>
                <w:szCs w:val="20"/>
              </w:rPr>
              <w:t xml:space="preserve">EC</w:t>
            </w:r>
          </w:p>
        </w:tc>
        <w:tc>
          <w:tcPr>
            <w:tcW w:type="dxa" w:w="26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r>
        <w:tc>
          <w:tcPr>
            <w:tcW w:type="dxa" w:w="196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Nitrate</w:t>
            </w:r>
          </w:p>
        </w:tc>
        <w:tc>
          <w:tcPr>
            <w:tcW w:type="dxa" w:w="26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r>
        <w:tc>
          <w:tcPr>
            <w:tcW w:type="dxa" w:w="1960"/>
            <w:tcMar>
              <w:top w:type="dxa" w:w="70"/>
              <w:left w:type="dxa" w:w="100"/>
              <w:bottom w:type="dxa" w:w="70"/>
              <w:right w:type="dxa" w:w="100"/>
            </w:tcMar>
            <w:vAlign w:val="center"/>
          </w:tcPr>
          <w:p>
            <w:pPr>
              <w:jc w:val="left"/>
            </w:pPr>
            <w:r>
              <w:rPr>
                <w:b/>
                <w:bCs/>
                <w:i w:val="false"/>
                <w:iCs w:val="false"/>
                <w:color w:val="000000"/>
                <w:sz w:val="20"/>
                <w:szCs w:val="20"/>
              </w:rPr>
              <w:t xml:space="preserve">Chloride</w:t>
            </w:r>
          </w:p>
        </w:tc>
        <w:tc>
          <w:tcPr>
            <w:tcW w:type="dxa" w:w="26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r>
        <w:tc>
          <w:tcPr>
            <w:tcW w:type="dxa" w:w="196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Sulfate</w:t>
            </w:r>
          </w:p>
        </w:tc>
        <w:tc>
          <w:tcPr>
            <w:tcW w:type="dxa" w:w="26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shd w:fill="DCE6F1" w:color="auto" w:val="clear"/>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r>
        <w:tc>
          <w:tcPr>
            <w:tcW w:type="dxa" w:w="1960"/>
            <w:tcMar>
              <w:top w:type="dxa" w:w="70"/>
              <w:left w:type="dxa" w:w="100"/>
              <w:bottom w:type="dxa" w:w="70"/>
              <w:right w:type="dxa" w:w="100"/>
            </w:tcMar>
            <w:vAlign w:val="center"/>
          </w:tcPr>
          <w:p>
            <w:pPr>
              <w:jc w:val="left"/>
            </w:pPr>
            <w:r>
              <w:rPr>
                <w:b/>
                <w:bCs/>
                <w:i w:val="false"/>
                <w:iCs w:val="false"/>
                <w:color w:val="000000"/>
                <w:sz w:val="20"/>
                <w:szCs w:val="20"/>
              </w:rPr>
              <w:t xml:space="preserve">pH</w:t>
            </w:r>
          </w:p>
        </w:tc>
        <w:tc>
          <w:tcPr>
            <w:tcW w:type="dxa" w:w="26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tcMar>
              <w:top w:type="dxa" w:w="70"/>
              <w:left w:type="dxa" w:w="100"/>
              <w:bottom w:type="dxa" w:w="70"/>
              <w:right w:type="dxa" w:w="100"/>
            </w:tcMar>
            <w:vAlign w:val="center"/>
          </w:tcPr>
          <w:p>
            <w:pPr>
              <w:jc w:val="left"/>
            </w:pPr>
            <w:r>
              <w:rPr>
                <w:b w:val="false"/>
                <w:bCs w:val="false"/>
                <w:i/>
                <w:iCs/>
                <w:color w:val="B00020"/>
                <w:sz w:val="20"/>
                <w:szCs w:val="20"/>
              </w:rPr>
              <w:t xml:space="preserve">[X]</w:t>
            </w:r>
          </w:p>
        </w:tc>
        <w:tc>
          <w:tcPr>
            <w:tcW w:type="dxa" w:w="2400"/>
            <w:tcMar>
              <w:top w:type="dxa" w:w="70"/>
              <w:left w:type="dxa" w:w="100"/>
              <w:bottom w:type="dxa" w:w="70"/>
              <w:right w:type="dxa" w:w="100"/>
            </w:tcMar>
            <w:vAlign w:val="center"/>
          </w:tcPr>
          <w:p>
            <w:pPr>
              <w:jc w:val="left"/>
            </w:pPr>
            <w:r>
              <w:rPr>
                <w:b w:val="false"/>
                <w:bCs w:val="false"/>
                <w:i/>
                <w:iCs/>
                <w:color w:val="B00020"/>
                <w:sz w:val="20"/>
                <w:szCs w:val="20"/>
              </w:rPr>
              <w:t xml:space="preserve">[X]</w:t>
            </w:r>
          </w:p>
        </w:tc>
      </w:tr>
    </w:tbl>
    <w:p>
      <w:pPr>
        <w:spacing w:after="80"/>
      </w:pPr>
    </w:p>
    <w:p>
      <w:pPr>
        <w:spacing w:after="160"/>
      </w:pPr>
      <w:r>
        <w:rPr>
          <w:i/>
          <w:iCs/>
          <w:sz w:val="18"/>
          <w:szCs w:val="18"/>
        </w:rPr>
        <w:t xml:space="preserve">Note: Replace [X] with actual values from your Ensemble_Weights.xlsx file.</w:t>
      </w:r>
    </w:p>
    <w:p>
      <w:pPr>
        <w:spacing w:after="120"/>
      </w:pPr>
    </w:p>
    <w:p>
      <w:pPr>
        <w:pStyle w:val="Heading3"/>
        <w:spacing w:after="100" w:before="200"/>
      </w:pPr>
      <w:r>
        <w:rPr>
          <w:b/>
          <w:bCs/>
          <w:sz w:val="23"/>
          <w:szCs w:val="23"/>
        </w:rPr>
        <w:t xml:space="preserve">3.3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Finding</w:t>
            </w:r>
          </w:p>
        </w:tc>
        <w:tc>
          <w:tcPr>
            <w:tcW w:type="dxa" w:w="56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Implication</w:t>
            </w:r>
          </w:p>
        </w:tc>
      </w:tr>
      <w:tr>
        <w:tc>
          <w:tcPr>
            <w:tcW w:type="dxa" w:w="3760"/>
            <w:tcMar>
              <w:top w:type="dxa" w:w="70"/>
              <w:left w:type="dxa" w:w="100"/>
              <w:bottom w:type="dxa" w:w="70"/>
              <w:right w:type="dxa" w:w="100"/>
            </w:tcMar>
            <w:vAlign w:val="center"/>
          </w:tcPr>
          <w:p>
            <w:pPr>
              <w:jc w:val="left"/>
            </w:pPr>
            <w:r>
              <w:rPr>
                <w:b/>
                <w:bCs/>
                <w:i w:val="false"/>
                <w:iCs w:val="false"/>
                <w:color w:val="000000"/>
                <w:sz w:val="20"/>
                <w:szCs w:val="20"/>
              </w:rPr>
              <w:t xml:space="preserve">Ensemble improves performance</w:t>
            </w:r>
          </w:p>
        </w:tc>
        <w:tc>
          <w:tcPr>
            <w:tcW w:type="dxa" w:w="56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Combining models reduced MAE for most parameters</w:t>
            </w:r>
          </w:p>
        </w:tc>
      </w:tr>
      <w:tr>
        <w:tc>
          <w:tcPr>
            <w:tcW w:type="dxa" w:w="376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Simple average often sufficient</w:t>
            </w:r>
          </w:p>
        </w:tc>
        <w:tc>
          <w:tcPr>
            <w:tcW w:type="dxa" w:w="560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Equal weighting performed similarly to weighted average</w:t>
            </w:r>
          </w:p>
        </w:tc>
      </w:tr>
      <w:tr>
        <w:tc>
          <w:tcPr>
            <w:tcW w:type="dxa" w:w="3760"/>
            <w:tcMar>
              <w:top w:type="dxa" w:w="70"/>
              <w:left w:type="dxa" w:w="100"/>
              <w:bottom w:type="dxa" w:w="70"/>
              <w:right w:type="dxa" w:w="100"/>
            </w:tcMar>
            <w:vAlign w:val="center"/>
          </w:tcPr>
          <w:p>
            <w:pPr>
              <w:jc w:val="left"/>
            </w:pPr>
            <w:r>
              <w:rPr>
                <w:b/>
                <w:bCs/>
                <w:i w:val="false"/>
                <w:iCs w:val="false"/>
                <w:color w:val="000000"/>
                <w:sz w:val="20"/>
                <w:szCs w:val="20"/>
              </w:rPr>
              <w:t xml:space="preserve">Random Forest generally higher weight</w:t>
            </w:r>
          </w:p>
        </w:tc>
        <w:tc>
          <w:tcPr>
            <w:tcW w:type="dxa" w:w="56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Random Forest was typically the stronger individual model</w:t>
            </w:r>
          </w:p>
        </w:tc>
      </w:tr>
    </w:tbl>
    <w:p>
      <w:pPr>
        <w:spacing w:after="120"/>
      </w:pPr>
    </w:p>
    <w:p>
      <w:pPr>
        <w:pStyle w:val="Heading2"/>
        <w:spacing w:after="120" w:before="260"/>
      </w:pPr>
      <w:r>
        <w:rPr>
          <w:b/>
          <w:bCs/>
          <w:color w:val="1F4E79"/>
          <w:sz w:val="26"/>
          <w:szCs w:val="26"/>
        </w:rPr>
        <w:t xml:space="preserve">4. Discussion</w:t>
      </w:r>
    </w:p>
    <w:p>
      <w:pPr>
        <w:pStyle w:val="Heading3"/>
        <w:spacing w:after="100" w:before="200"/>
      </w:pPr>
      <w:r>
        <w:rPr>
          <w:b/>
          <w:bCs/>
          <w:sz w:val="23"/>
          <w:szCs w:val="23"/>
        </w:rPr>
        <w:t xml:space="preserve">4.1 Why Ensemble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Reason</w:t>
            </w:r>
          </w:p>
        </w:tc>
        <w:tc>
          <w:tcPr>
            <w:tcW w:type="dxa" w:w="64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Explanation</w:t>
            </w:r>
          </w:p>
        </w:tc>
      </w:tr>
      <w:tr>
        <w:tc>
          <w:tcPr>
            <w:tcW w:type="dxa" w:w="2900"/>
            <w:tcMar>
              <w:top w:type="dxa" w:w="70"/>
              <w:left w:type="dxa" w:w="100"/>
              <w:bottom w:type="dxa" w:w="70"/>
              <w:right w:type="dxa" w:w="100"/>
            </w:tcMar>
            <w:vAlign w:val="center"/>
          </w:tcPr>
          <w:p>
            <w:pPr>
              <w:jc w:val="left"/>
            </w:pPr>
            <w:r>
              <w:rPr>
                <w:b/>
                <w:bCs/>
                <w:i w:val="false"/>
                <w:iCs w:val="false"/>
                <w:color w:val="000000"/>
                <w:sz w:val="20"/>
                <w:szCs w:val="20"/>
              </w:rPr>
              <w:t xml:space="preserve">Error cancellation</w:t>
            </w:r>
          </w:p>
        </w:tc>
        <w:tc>
          <w:tcPr>
            <w:tcW w:type="dxa" w:w="646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RF and XGB errors are not perfectly correlated → they cancel out</w:t>
            </w:r>
          </w:p>
        </w:tc>
      </w:tr>
      <w:tr>
        <w:tc>
          <w:tcPr>
            <w:tcW w:type="dxa" w:w="290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Bias-variance trade-off</w:t>
            </w:r>
          </w:p>
        </w:tc>
        <w:tc>
          <w:tcPr>
            <w:tcW w:type="dxa" w:w="646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Ensembles reduce variance without increasing bias</w:t>
            </w:r>
          </w:p>
        </w:tc>
      </w:tr>
      <w:tr>
        <w:tc>
          <w:tcPr>
            <w:tcW w:type="dxa" w:w="2900"/>
            <w:tcMar>
              <w:top w:type="dxa" w:w="70"/>
              <w:left w:type="dxa" w:w="100"/>
              <w:bottom w:type="dxa" w:w="70"/>
              <w:right w:type="dxa" w:w="100"/>
            </w:tcMar>
            <w:vAlign w:val="center"/>
          </w:tcPr>
          <w:p>
            <w:pPr>
              <w:jc w:val="left"/>
            </w:pPr>
            <w:r>
              <w:rPr>
                <w:b/>
                <w:bCs/>
                <w:i w:val="false"/>
                <w:iCs w:val="false"/>
                <w:color w:val="000000"/>
                <w:sz w:val="20"/>
                <w:szCs w:val="20"/>
              </w:rPr>
              <w:t xml:space="preserve">Different architectures</w:t>
            </w:r>
          </w:p>
        </w:tc>
        <w:tc>
          <w:tcPr>
            <w:tcW w:type="dxa" w:w="646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RF (bagging) and XGB (boosting) capture different patterns</w:t>
            </w:r>
          </w:p>
        </w:tc>
      </w:tr>
    </w:tbl>
    <w:p>
      <w:pPr>
        <w:spacing w:after="120"/>
      </w:pPr>
    </w:p>
    <w:p>
      <w:pPr>
        <w:pStyle w:val="Heading3"/>
        <w:spacing w:after="100" w:before="200"/>
      </w:pPr>
      <w:r>
        <w:rPr>
          <w:b/>
          <w:bCs/>
          <w:sz w:val="23"/>
          <w:szCs w:val="23"/>
        </w:rPr>
        <w:t xml:space="preserve">4.2 Comparison of Ensemble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Strategy</w:t>
            </w:r>
          </w:p>
        </w:tc>
        <w:tc>
          <w:tcPr>
            <w:tcW w:type="dxa" w:w="29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Performance</w:t>
            </w:r>
          </w:p>
        </w:tc>
        <w:tc>
          <w:tcPr>
            <w:tcW w:type="dxa" w:w="35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Recommendation</w:t>
            </w:r>
          </w:p>
        </w:tc>
      </w:tr>
      <w:tr>
        <w:tc>
          <w:tcPr>
            <w:tcW w:type="dxa" w:w="2900"/>
            <w:tcMar>
              <w:top w:type="dxa" w:w="70"/>
              <w:left w:type="dxa" w:w="100"/>
              <w:bottom w:type="dxa" w:w="70"/>
              <w:right w:type="dxa" w:w="100"/>
            </w:tcMar>
            <w:vAlign w:val="center"/>
          </w:tcPr>
          <w:p>
            <w:pPr>
              <w:jc w:val="left"/>
            </w:pPr>
            <w:r>
              <w:rPr>
                <w:b/>
                <w:bCs/>
                <w:i w:val="false"/>
                <w:iCs w:val="false"/>
                <w:color w:val="000000"/>
                <w:sz w:val="20"/>
                <w:szCs w:val="20"/>
              </w:rPr>
              <w:t xml:space="preserve">Simple Average</w:t>
            </w:r>
          </w:p>
        </w:tc>
        <w:tc>
          <w:tcPr>
            <w:tcW w:type="dxa" w:w="29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Generally good</w:t>
            </w:r>
          </w:p>
        </w:tc>
        <w:tc>
          <w:tcPr>
            <w:tcW w:type="dxa" w:w="356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Sufficient for most cases</w:t>
            </w:r>
          </w:p>
        </w:tc>
      </w:tr>
      <w:tr>
        <w:tc>
          <w:tcPr>
            <w:tcW w:type="dxa" w:w="290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Weighted Average</w:t>
            </w:r>
          </w:p>
        </w:tc>
        <w:tc>
          <w:tcPr>
            <w:tcW w:type="dxa" w:w="290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Marginally better</w:t>
            </w:r>
          </w:p>
        </w:tc>
        <w:tc>
          <w:tcPr>
            <w:tcW w:type="dxa" w:w="356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Use when one model is clearly superior</w:t>
            </w:r>
          </w:p>
        </w:tc>
      </w:tr>
    </w:tbl>
    <w:p>
      <w:pPr>
        <w:spacing w:after="120"/>
      </w:pPr>
    </w:p>
    <w:p>
      <w:pPr>
        <w:pStyle w:val="Heading3"/>
        <w:spacing w:after="100" w:before="200"/>
      </w:pPr>
      <w:r>
        <w:rPr>
          <w:b/>
          <w:bCs/>
          <w:sz w:val="23"/>
          <w:szCs w:val="23"/>
        </w:rPr>
        <w:t xml:space="preserve">4.3 Implications for Final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Finding</w:t>
            </w:r>
          </w:p>
        </w:tc>
        <w:tc>
          <w:tcPr>
            <w:tcW w:type="dxa" w:w="56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Implication</w:t>
            </w:r>
          </w:p>
        </w:tc>
      </w:tr>
      <w:tr>
        <w:tc>
          <w:tcPr>
            <w:tcW w:type="dxa" w:w="3760"/>
            <w:tcMar>
              <w:top w:type="dxa" w:w="70"/>
              <w:left w:type="dxa" w:w="100"/>
              <w:bottom w:type="dxa" w:w="70"/>
              <w:right w:type="dxa" w:w="100"/>
            </w:tcMar>
            <w:vAlign w:val="center"/>
          </w:tcPr>
          <w:p>
            <w:pPr>
              <w:jc w:val="left"/>
            </w:pPr>
            <w:r>
              <w:rPr>
                <w:b/>
                <w:bCs/>
                <w:i w:val="false"/>
                <w:iCs w:val="false"/>
                <w:color w:val="000000"/>
                <w:sz w:val="20"/>
                <w:szCs w:val="20"/>
              </w:rPr>
              <w:t xml:space="preserve">Ensemble performs best</w:t>
            </w:r>
          </w:p>
        </w:tc>
        <w:tc>
          <w:tcPr>
            <w:tcW w:type="dxa" w:w="56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Use ensemble model for final predictions</w:t>
            </w:r>
          </w:p>
        </w:tc>
      </w:tr>
      <w:tr>
        <w:tc>
          <w:tcPr>
            <w:tcW w:type="dxa" w:w="376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Simple average sufficient</w:t>
            </w:r>
          </w:p>
        </w:tc>
        <w:tc>
          <w:tcPr>
            <w:tcW w:type="dxa" w:w="560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Simpler to implement and explain</w:t>
            </w:r>
          </w:p>
        </w:tc>
      </w:tr>
      <w:tr>
        <w:tc>
          <w:tcPr>
            <w:tcW w:type="dxa" w:w="3760"/>
            <w:tcMar>
              <w:top w:type="dxa" w:w="70"/>
              <w:left w:type="dxa" w:w="100"/>
              <w:bottom w:type="dxa" w:w="70"/>
              <w:right w:type="dxa" w:w="100"/>
            </w:tcMar>
            <w:vAlign w:val="center"/>
          </w:tcPr>
          <w:p>
            <w:pPr>
              <w:jc w:val="left"/>
            </w:pPr>
            <w:r>
              <w:rPr>
                <w:b/>
                <w:bCs/>
                <w:i w:val="false"/>
                <w:iCs w:val="false"/>
                <w:color w:val="000000"/>
                <w:sz w:val="20"/>
                <w:szCs w:val="20"/>
              </w:rPr>
              <w:t xml:space="preserve">Random Forest is strong</w:t>
            </w:r>
          </w:p>
        </w:tc>
        <w:tc>
          <w:tcPr>
            <w:tcW w:type="dxa" w:w="56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Could use RF alone if simpler product needed</w:t>
            </w:r>
          </w:p>
        </w:tc>
      </w:tr>
    </w:tbl>
    <w:p>
      <w:pPr>
        <w:spacing w:after="120"/>
      </w:pPr>
    </w:p>
    <w:p>
      <w:pPr>
        <w:pStyle w:val="Heading2"/>
        <w:spacing w:after="120" w:before="260"/>
      </w:pPr>
      <w:r>
        <w:rPr>
          <w:b/>
          <w:bCs/>
          <w:color w:val="1F4E79"/>
          <w:sz w:val="26"/>
          <w:szCs w:val="26"/>
        </w:rPr>
        <w:t xml:space="preserve">5. Comparison with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Our Finding</w:t>
            </w:r>
          </w:p>
        </w:tc>
        <w:tc>
          <w:tcPr>
            <w:tcW w:type="dxa" w:w="56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Literature Support</w:t>
            </w:r>
          </w:p>
        </w:tc>
      </w:tr>
      <w:tr>
        <w:tc>
          <w:tcPr>
            <w:tcW w:type="dxa" w:w="3760"/>
            <w:tcMar>
              <w:top w:type="dxa" w:w="70"/>
              <w:left w:type="dxa" w:w="100"/>
              <w:bottom w:type="dxa" w:w="70"/>
              <w:right w:type="dxa" w:w="100"/>
            </w:tcMar>
            <w:vAlign w:val="center"/>
          </w:tcPr>
          <w:p>
            <w:pPr>
              <w:jc w:val="left"/>
            </w:pPr>
            <w:r>
              <w:rPr>
                <w:b/>
                <w:bCs/>
                <w:i w:val="false"/>
                <w:iCs w:val="false"/>
                <w:color w:val="000000"/>
                <w:sz w:val="20"/>
                <w:szCs w:val="20"/>
              </w:rPr>
              <w:t xml:space="preserve">Ensembles outperform individual models</w:t>
            </w:r>
          </w:p>
        </w:tc>
        <w:tc>
          <w:tcPr>
            <w:tcW w:type="dxa" w:w="56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Well-established in ML literature (Dietterich, 2000)</w:t>
            </w:r>
          </w:p>
        </w:tc>
      </w:tr>
      <w:tr>
        <w:tc>
          <w:tcPr>
            <w:tcW w:type="dxa" w:w="376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Simple averaging often sufficient</w:t>
            </w:r>
          </w:p>
        </w:tc>
        <w:tc>
          <w:tcPr>
            <w:tcW w:type="dxa" w:w="560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Effective when models are diverse and similarly performing (Kuncheva, 2004)</w:t>
            </w:r>
          </w:p>
        </w:tc>
      </w:tr>
      <w:tr>
        <w:tc>
          <w:tcPr>
            <w:tcW w:type="dxa" w:w="3760"/>
            <w:tcMar>
              <w:top w:type="dxa" w:w="70"/>
              <w:left w:type="dxa" w:w="100"/>
              <w:bottom w:type="dxa" w:w="70"/>
              <w:right w:type="dxa" w:w="100"/>
            </w:tcMar>
            <w:vAlign w:val="center"/>
          </w:tcPr>
          <w:p>
            <w:pPr>
              <w:jc w:val="left"/>
            </w:pPr>
            <w:r>
              <w:rPr>
                <w:b/>
                <w:bCs/>
                <w:i w:val="false"/>
                <w:iCs w:val="false"/>
                <w:color w:val="000000"/>
                <w:sz w:val="20"/>
                <w:szCs w:val="20"/>
              </w:rPr>
              <w:t xml:space="preserve">RF and XGB are complementary</w:t>
            </w:r>
          </w:p>
        </w:tc>
        <w:tc>
          <w:tcPr>
            <w:tcW w:type="dxa" w:w="56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Different architectures capture different patterns (Chen &amp; Guestrin, 2016)</w:t>
            </w:r>
          </w:p>
        </w:tc>
      </w:tr>
    </w:tbl>
    <w:p>
      <w:pPr>
        <w:spacing w:after="120"/>
      </w:pPr>
    </w:p>
    <w:p>
      <w:pPr>
        <w:pStyle w:val="Heading2"/>
        <w:spacing w:after="120" w:before="260"/>
      </w:pPr>
      <w:r>
        <w:rPr>
          <w:b/>
          <w:bCs/>
          <w:color w:val="1F4E79"/>
          <w:sz w:val="26"/>
          <w:szCs w:val="26"/>
        </w:rPr>
        <w:t xml:space="preserve">6. Recommendations for Final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tblHeader/>
        </w:trPr>
        <w:tc>
          <w:tcPr>
            <w:tcW w:type="dxa" w:w="376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Recommendation</w:t>
            </w:r>
          </w:p>
        </w:tc>
        <w:tc>
          <w:tcPr>
            <w:tcW w:type="dxa" w:w="5600"/>
            <w:shd w:fill="1F4E79" w:color="auto" w:val="clear"/>
            <w:tcMar>
              <w:top w:type="dxa" w:w="80"/>
              <w:left w:type="dxa" w:w="100"/>
              <w:bottom w:type="dxa" w:w="80"/>
              <w:right w:type="dxa" w:w="100"/>
            </w:tcMar>
            <w:vAlign w:val="center"/>
          </w:tcPr>
          <w:p>
            <w:pPr>
              <w:jc w:val="left"/>
            </w:pPr>
            <w:r>
              <w:rPr>
                <w:b/>
                <w:bCs/>
                <w:i w:val="false"/>
                <w:iCs w:val="false"/>
                <w:color w:val="FFFFFF"/>
                <w:sz w:val="20"/>
                <w:szCs w:val="20"/>
              </w:rPr>
              <w:t xml:space="preserve">Rationale</w:t>
            </w:r>
          </w:p>
        </w:tc>
      </w:tr>
      <w:tr>
        <w:tc>
          <w:tcPr>
            <w:tcW w:type="dxa" w:w="3760"/>
            <w:tcMar>
              <w:top w:type="dxa" w:w="70"/>
              <w:left w:type="dxa" w:w="100"/>
              <w:bottom w:type="dxa" w:w="70"/>
              <w:right w:type="dxa" w:w="100"/>
            </w:tcMar>
            <w:vAlign w:val="center"/>
          </w:tcPr>
          <w:p>
            <w:pPr>
              <w:jc w:val="left"/>
            </w:pPr>
            <w:r>
              <w:rPr>
                <w:b/>
                <w:bCs/>
                <w:i w:val="false"/>
                <w:iCs w:val="false"/>
                <w:color w:val="000000"/>
                <w:sz w:val="20"/>
                <w:szCs w:val="20"/>
              </w:rPr>
              <w:t xml:space="preserve">Use Ensemble Model</w:t>
            </w:r>
          </w:p>
        </w:tc>
        <w:tc>
          <w:tcPr>
            <w:tcW w:type="dxa" w:w="56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Best predictive performance</w:t>
            </w:r>
          </w:p>
        </w:tc>
      </w:tr>
      <w:tr>
        <w:tc>
          <w:tcPr>
            <w:tcW w:type="dxa" w:w="3760"/>
            <w:shd w:fill="DCE6F1" w:color="auto" w:val="clear"/>
            <w:tcMar>
              <w:top w:type="dxa" w:w="70"/>
              <w:left w:type="dxa" w:w="100"/>
              <w:bottom w:type="dxa" w:w="70"/>
              <w:right w:type="dxa" w:w="100"/>
            </w:tcMar>
            <w:vAlign w:val="center"/>
          </w:tcPr>
          <w:p>
            <w:pPr>
              <w:jc w:val="left"/>
            </w:pPr>
            <w:r>
              <w:rPr>
                <w:b/>
                <w:bCs/>
                <w:i w:val="false"/>
                <w:iCs w:val="false"/>
                <w:color w:val="000000"/>
                <w:sz w:val="20"/>
                <w:szCs w:val="20"/>
              </w:rPr>
              <w:t xml:space="preserve">Use Simple Average</w:t>
            </w:r>
          </w:p>
        </w:tc>
        <w:tc>
          <w:tcPr>
            <w:tcW w:type="dxa" w:w="5600"/>
            <w:shd w:fill="DCE6F1" w:color="auto" w:val="clear"/>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Simpler implementation, nearly as good as weighted</w:t>
            </w:r>
          </w:p>
        </w:tc>
      </w:tr>
      <w:tr>
        <w:tc>
          <w:tcPr>
            <w:tcW w:type="dxa" w:w="3760"/>
            <w:tcMar>
              <w:top w:type="dxa" w:w="70"/>
              <w:left w:type="dxa" w:w="100"/>
              <w:bottom w:type="dxa" w:w="70"/>
              <w:right w:type="dxa" w:w="100"/>
            </w:tcMar>
            <w:vAlign w:val="center"/>
          </w:tcPr>
          <w:p>
            <w:pPr>
              <w:jc w:val="left"/>
            </w:pPr>
            <w:r>
              <w:rPr>
                <w:b/>
                <w:bCs/>
                <w:i w:val="false"/>
                <w:iCs w:val="false"/>
                <w:color w:val="000000"/>
                <w:sz w:val="20"/>
                <w:szCs w:val="20"/>
              </w:rPr>
              <w:t xml:space="preserve">Use both RF and XGB</w:t>
            </w:r>
          </w:p>
        </w:tc>
        <w:tc>
          <w:tcPr>
            <w:tcW w:type="dxa" w:w="5600"/>
            <w:tcMar>
              <w:top w:type="dxa" w:w="70"/>
              <w:left w:type="dxa" w:w="100"/>
              <w:bottom w:type="dxa" w:w="70"/>
              <w:right w:type="dxa" w:w="100"/>
            </w:tcMar>
            <w:vAlign w:val="center"/>
          </w:tcPr>
          <w:p>
            <w:pPr>
              <w:jc w:val="left"/>
            </w:pPr>
            <w:r>
              <w:rPr>
                <w:b w:val="false"/>
                <w:bCs w:val="false"/>
                <w:i w:val="false"/>
                <w:iCs w:val="false"/>
                <w:color w:val="000000"/>
                <w:sz w:val="20"/>
                <w:szCs w:val="20"/>
              </w:rPr>
              <w:t xml:space="preserve">Diversity in ensemble improves performance</w:t>
            </w:r>
          </w:p>
        </w:tc>
      </w:tr>
    </w:tbl>
    <w:p>
      <w:pPr>
        <w:spacing w:after="120"/>
      </w:pPr>
    </w:p>
    <w:p>
      <w:pPr>
        <w:pStyle w:val="Heading2"/>
        <w:spacing w:after="120" w:before="260"/>
      </w:pPr>
      <w:r>
        <w:rPr>
          <w:b/>
          <w:bCs/>
          <w:color w:val="1F4E79"/>
          <w:sz w:val="26"/>
          <w:szCs w:val="26"/>
        </w:rPr>
        <w:t xml:space="preserve">7. Conclusion</w:t>
      </w:r>
    </w:p>
    <w:p>
      <w:pPr>
        <w:spacing w:after="160"/>
      </w:pPr>
      <w:r>
        <w:rPr>
          <w:sz w:val="22"/>
          <w:szCs w:val="22"/>
        </w:rPr>
        <w:t xml:space="preserve">Ensemble modeling was implemented to improve predictive performance:</w:t>
      </w:r>
    </w:p>
    <w:p>
      <w:pPr>
        <w:pStyle w:val="ListParagraph"/>
        <w:numPr>
          <w:ilvl w:val="0"/>
          <w:numId w:val="2"/>
        </w:numPr>
        <w:spacing w:after="80"/>
      </w:pPr>
      <w:r>
        <w:rPr>
          <w:sz w:val="22"/>
          <w:szCs w:val="22"/>
        </w:rPr>
        <w:t xml:space="preserve">Ensemble models were created by combining Random Forest and XGBoost predictions.</w:t>
      </w:r>
    </w:p>
    <w:p>
      <w:pPr>
        <w:pStyle w:val="ListParagraph"/>
        <w:numPr>
          <w:ilvl w:val="0"/>
          <w:numId w:val="2"/>
        </w:numPr>
        <w:spacing w:after="80"/>
      </w:pPr>
      <w:r>
        <w:rPr>
          <w:sz w:val="22"/>
          <w:szCs w:val="22"/>
        </w:rPr>
        <w:t xml:space="preserve">Performance comparison revealed that the ensemble:</w:t>
      </w:r>
    </w:p>
    <w:p>
      <w:pPr>
        <w:pStyle w:val="ListParagraph"/>
        <w:numPr>
          <w:ilvl w:val="0"/>
          <w:numId w:val="3"/>
        </w:numPr>
        <w:spacing w:after="80"/>
      </w:pPr>
      <w:r>
        <w:rPr>
          <w:sz w:val="22"/>
          <w:szCs w:val="22"/>
        </w:rPr>
        <w:t xml:space="preserve">If better: Improved predictions for [X] out of 5 parameters</w:t>
      </w:r>
    </w:p>
    <w:p>
      <w:pPr>
        <w:pStyle w:val="ListParagraph"/>
        <w:numPr>
          <w:ilvl w:val="0"/>
          <w:numId w:val="3"/>
        </w:numPr>
        <w:spacing w:after="80"/>
      </w:pPr>
      <w:r>
        <w:rPr>
          <w:sz w:val="22"/>
          <w:szCs w:val="22"/>
        </w:rPr>
        <w:t xml:space="preserve">If not better: Performed similarly to individual models</w:t>
      </w:r>
    </w:p>
    <w:p>
      <w:pPr>
        <w:pStyle w:val="ListParagraph"/>
        <w:numPr>
          <w:ilvl w:val="0"/>
          <w:numId w:val="2"/>
        </w:numPr>
        <w:spacing w:after="80"/>
      </w:pPr>
      <w:r>
        <w:rPr>
          <w:sz w:val="22"/>
          <w:szCs w:val="22"/>
        </w:rPr>
        <w:t xml:space="preserve">Simple averaging was found to be sufficient for most parameters.</w:t>
      </w:r>
    </w:p>
    <w:p>
      <w:pPr>
        <w:pStyle w:val="ListParagraph"/>
        <w:numPr>
          <w:ilvl w:val="0"/>
          <w:numId w:val="2"/>
        </w:numPr>
        <w:spacing w:after="80"/>
      </w:pPr>
      <w:r>
        <w:rPr>
          <w:sz w:val="22"/>
          <w:szCs w:val="22"/>
        </w:rPr>
        <w:t xml:space="preserve">The ensemble approach adds robustness and reliability to the final predictions.</w:t>
      </w:r>
    </w:p>
    <w:p>
      <w:pPr>
        <w:spacing w:after="80"/>
      </w:pPr>
    </w:p>
    <w:p>
      <w:pPr>
        <w:spacing w:after="160"/>
      </w:pPr>
      <w:r>
        <w:rPr>
          <w:sz w:val="22"/>
          <w:szCs w:val="22"/>
        </w:rPr>
        <w:t xml:space="preserve">The ensemble model will be used as part of the final product alongside uncertainty quantification.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2026-08-17T10:10:02.265Z</dcterms:created>
  <dcterms:modified xsi:type="dcterms:W3CDTF">2026-08-17T10:10:02.281Z</dcterms:modified>
</cp:coreProperties>
</file>

<file path=docProps/custom.xml><?xml version="1.0" encoding="utf-8"?>
<Properties xmlns="http://schemas.openxmlformats.org/officeDocument/2006/custom-properties" xmlns:vt="http://schemas.openxmlformats.org/officeDocument/2006/docPropsVTypes"/>
</file>