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EXPLORATORY DATA ANALYSIS</w:t>
      </w:r>
    </w:p>
    <w:p>
      <w:pPr>
        <w:pStyle w:val="Heading1"/>
      </w:pPr>
      <w:r>
        <w:t>1. INTRODUCTION TO EDA</w:t>
      </w:r>
    </w:p>
    <w:p>
      <w:r>
        <w:t>Exploratory Data Analysis (EDA) was conducted to understand the underlying patterns, relationships, and distributions within the groundwater quality dataset before proceeding to formal modeling. The analysis focused on:</w:t>
      </w:r>
    </w:p>
    <w:p>
      <w:r>
        <w:t>1. Univariate Analysis — Distribution of each parameter</w:t>
      </w:r>
    </w:p>
    <w:p>
      <w:r>
        <w:t>2. Bivariate Analysis — Relationships between climate and groundwater variables</w:t>
      </w:r>
    </w:p>
    <w:p>
      <w:r>
        <w:t>3. City-Specific Patterns — Hydrochemical differences among the three cities</w:t>
      </w:r>
    </w:p>
    <w:p>
      <w:r>
        <w:t>4. Temporal Trends — Changes in groundwater quality over the 2015-2024 period</w:t>
      </w:r>
    </w:p>
    <w:p>
      <w:r>
        <w:t>5. Correlation Analysis — Statistical relationships between all variables</w:t>
      </w:r>
    </w:p>
    <w:p>
      <w:r>
        <w:t>The dataset comprised 661 station-year observations from three German cities: Cologne (144 rows), Leipzig (378 rows), and Stuttgart (139 rows), spanning the period 2015-2024.</w:t>
      </w:r>
    </w:p>
    <w:p>
      <w:pPr>
        <w:pStyle w:val="Heading1"/>
      </w:pPr>
      <w:r>
        <w:t>2. DISTRIBUTION ANALYSIS</w:t>
      </w:r>
    </w:p>
    <w:p>
      <w:pPr>
        <w:pStyle w:val="Heading2"/>
      </w:pPr>
      <w:r>
        <w:t>2.1 Groundwater Parameters</w:t>
      </w:r>
    </w:p>
    <w:p>
      <w:r>
        <w:t>EC (Electrical Conductivity):</w:t>
      </w:r>
    </w:p>
    <w:p>
      <w:pPr>
        <w:pStyle w:val="ListBullet"/>
      </w:pPr>
      <w:r>
        <w:t>Mean: 1064.03 µS/cm</w:t>
      </w:r>
    </w:p>
    <w:p>
      <w:pPr>
        <w:pStyle w:val="ListBullet"/>
      </w:pPr>
      <w:r>
        <w:t>Median: 1050.00 µS/cm</w:t>
      </w:r>
    </w:p>
    <w:p>
      <w:pPr>
        <w:pStyle w:val="ListBullet"/>
      </w:pPr>
      <w:r>
        <w:t>Range: 50 to 3110 µS/cm</w:t>
      </w:r>
    </w:p>
    <w:p>
      <w:pPr>
        <w:pStyle w:val="ListBullet"/>
      </w:pPr>
      <w:r>
        <w:t>Right-skewed distribution, indicating some stations with high salinity</w:t>
      </w:r>
    </w:p>
    <w:p>
      <w:pPr>
        <w:pStyle w:val="ListBullet"/>
      </w:pPr>
      <w:r>
        <w:t>Stuttgart exhibited the highest EC values (&gt;2000 µS/cm)</w:t>
      </w:r>
    </w:p>
    <w:p>
      <w:r>
        <w:t>Nitrate:</w:t>
      </w:r>
    </w:p>
    <w:p>
      <w:pPr>
        <w:pStyle w:val="ListBullet"/>
      </w:pPr>
      <w:r>
        <w:t>Mean: 11.70 mg/L</w:t>
      </w:r>
    </w:p>
    <w:p>
      <w:pPr>
        <w:pStyle w:val="ListBullet"/>
      </w:pPr>
      <w:r>
        <w:t>Median: 2.25 mg/L</w:t>
      </w:r>
    </w:p>
    <w:p>
      <w:pPr>
        <w:pStyle w:val="ListBullet"/>
      </w:pPr>
      <w:r>
        <w:t>Range: 0 to 120 mg/L</w:t>
      </w:r>
    </w:p>
    <w:p>
      <w:pPr>
        <w:pStyle w:val="ListBullet"/>
      </w:pPr>
      <w:r>
        <w:t>Highly right-skewed with a long tail of high values</w:t>
      </w:r>
    </w:p>
    <w:p>
      <w:pPr>
        <w:pStyle w:val="ListBullet"/>
      </w:pPr>
      <w:r>
        <w:t>Leipzig showed the highest nitrate concentrations, reflecting agricultural influence</w:t>
      </w:r>
    </w:p>
    <w:p>
      <w:r>
        <w:t>pH:</w:t>
      </w:r>
    </w:p>
    <w:p>
      <w:pPr>
        <w:pStyle w:val="ListBullet"/>
      </w:pPr>
      <w:r>
        <w:t>Mean: 6.81</w:t>
      </w:r>
    </w:p>
    <w:p>
      <w:pPr>
        <w:pStyle w:val="ListBullet"/>
      </w:pPr>
      <w:r>
        <w:t>Median: 6.90</w:t>
      </w:r>
    </w:p>
    <w:p>
      <w:pPr>
        <w:pStyle w:val="ListBullet"/>
      </w:pPr>
      <w:r>
        <w:t>Range: 3.45 to 7.90</w:t>
      </w:r>
    </w:p>
    <w:p>
      <w:pPr>
        <w:pStyle w:val="ListBullet"/>
      </w:pPr>
      <w:r>
        <w:t>Approximately normal distribution, generally neutral</w:t>
      </w:r>
    </w:p>
    <w:p>
      <w:pPr>
        <w:pStyle w:val="ListBullet"/>
      </w:pPr>
      <w:r>
        <w:t>Some acidic outliers in Leipzig (pH &lt; 5)</w:t>
      </w:r>
    </w:p>
    <w:p>
      <w:r>
        <w:t>Iron and Manganese:</w:t>
      </w:r>
    </w:p>
    <w:p>
      <w:pPr>
        <w:pStyle w:val="ListBullet"/>
      </w:pPr>
      <w:r>
        <w:t>Both showed highly right-skewed distributions</w:t>
      </w:r>
    </w:p>
    <w:p>
      <w:pPr>
        <w:pStyle w:val="ListBullet"/>
      </w:pPr>
      <w:r>
        <w:t>Most values near zero with occasional spikes</w:t>
      </w:r>
    </w:p>
    <w:p>
      <w:pPr>
        <w:pStyle w:val="ListBullet"/>
      </w:pPr>
      <w:r>
        <w:t>High missing rates (47-48%) limited analysis</w:t>
      </w:r>
    </w:p>
    <w:p>
      <w:r>
        <w:t>Chloride:</w:t>
      </w:r>
    </w:p>
    <w:p>
      <w:pPr>
        <w:pStyle w:val="ListBullet"/>
      </w:pPr>
      <w:r>
        <w:t>Wide variation: 0 to 500 mg/L</w:t>
      </w:r>
    </w:p>
    <w:p>
      <w:pPr>
        <w:pStyle w:val="ListBullet"/>
      </w:pPr>
      <w:r>
        <w:t>Stuttgart showed highest values</w:t>
      </w:r>
    </w:p>
    <w:p>
      <w:pPr>
        <w:pStyle w:val="ListBullet"/>
      </w:pPr>
      <w:r>
        <w:t>Cologne showed extremely low values (&lt;10 mg/L)</w:t>
      </w:r>
    </w:p>
    <w:p>
      <w:r>
        <w:t>Sulfate:</w:t>
      </w:r>
    </w:p>
    <w:p>
      <w:pPr>
        <w:pStyle w:val="ListBullet"/>
      </w:pPr>
      <w:r>
        <w:t>Wide variation: 0 to 1229 mg/L</w:t>
      </w:r>
    </w:p>
    <w:p>
      <w:pPr>
        <w:pStyle w:val="ListBullet"/>
      </w:pPr>
      <w:r>
        <w:t>Stuttgart showed highest values (mining/industrial influence)</w:t>
      </w:r>
    </w:p>
    <w:p>
      <w:pPr>
        <w:pStyle w:val="ListBullet"/>
      </w:pPr>
      <w:r>
        <w:t>Strong negative correlation with rainfall (r = -0.55)</w:t>
      </w:r>
    </w:p>
    <w:p>
      <w:pPr>
        <w:pStyle w:val="Heading1"/>
      </w:pPr>
      <w:r>
        <w:t>3. CITY COMPARISONS</w:t>
      </w:r>
    </w:p>
    <w:p>
      <w:pPr>
        <w:pStyle w:val="Heading2"/>
      </w:pPr>
      <w:r>
        <w:t>3.1 Hydrochemical Signatures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rFonts w:ascii="Arial" w:hAnsi="Arial"/>
                <w:b/>
                <w:sz w:val="19"/>
              </w:rPr>
              <w:t>**ParameterCologneLeipzigStuttgart**</w:t>
            </w:r>
          </w:p>
        </w:tc>
        <w:tc>
          <w:tcPr>
            <w:tcW w:type="dxa" w:w="2484"/>
            <w:shd w:fill="D9EAF7"/>
          </w:tcPr>
          <w:p>
            <w:r>
              <w:rPr>
                <w:rFonts w:ascii="Arial" w:hAnsi="Arial"/>
                <w:b/>
                <w:sz w:val="19"/>
              </w:rPr>
            </w:r>
          </w:p>
        </w:tc>
        <w:tc>
          <w:tcPr>
            <w:tcW w:type="dxa" w:w="2484"/>
            <w:shd w:fill="D9EAF7"/>
          </w:tcPr>
          <w:p>
            <w:r>
              <w:rPr>
                <w:rFonts w:ascii="Arial" w:hAnsi="Arial"/>
                <w:b/>
                <w:sz w:val="19"/>
              </w:rPr>
            </w:r>
          </w:p>
        </w:tc>
        <w:tc>
          <w:tcPr>
            <w:tcW w:type="dxa" w:w="2484"/>
            <w:shd w:fill="D9EAF7"/>
          </w:tcPr>
          <w:p>
            <w:r>
              <w:rPr>
                <w:rFonts w:ascii="Arial" w:hAnsi="Arial"/>
                <w:b/>
                <w:sz w:val="19"/>
              </w:rPr>
            </w:r>
          </w:p>
        </w:tc>
      </w:tr>
      <w:tr>
        <w:tc>
          <w:tcPr>
            <w:tcW w:type="dxa" w:w="2484"/>
          </w:tcPr>
          <w:p>
            <w:r>
              <w:rPr>
                <w:rFonts w:ascii="Arial" w:hAnsi="Arial"/>
                <w:sz w:val="19"/>
              </w:rPr>
              <w:t>**EC (µS/cm)**</w:t>
            </w:r>
          </w:p>
        </w:tc>
        <w:tc>
          <w:tcPr>
            <w:tcW w:type="dxa" w:w="2484"/>
          </w:tcPr>
          <w:p>
            <w:r>
              <w:rPr>
                <w:rFonts w:ascii="Arial" w:hAnsi="Arial"/>
                <w:sz w:val="19"/>
              </w:rPr>
              <w:t>~688</w:t>
            </w:r>
          </w:p>
        </w:tc>
        <w:tc>
          <w:tcPr>
            <w:tcW w:type="dxa" w:w="2484"/>
          </w:tcPr>
          <w:p>
            <w:r>
              <w:rPr>
                <w:rFonts w:ascii="Arial" w:hAnsi="Arial"/>
                <w:sz w:val="19"/>
              </w:rPr>
              <w:t>~837</w:t>
            </w:r>
          </w:p>
        </w:tc>
        <w:tc>
          <w:tcPr>
            <w:tcW w:type="dxa" w:w="2484"/>
          </w:tcPr>
          <w:p>
            <w:r>
              <w:rPr>
                <w:rFonts w:ascii="Arial" w:hAnsi="Arial"/>
                <w:sz w:val="19"/>
              </w:rPr>
              <w:t>&gt;1200</w:t>
            </w:r>
          </w:p>
        </w:tc>
      </w:tr>
      <w:tr>
        <w:tc>
          <w:tcPr>
            <w:tcW w:type="dxa" w:w="2484"/>
          </w:tcPr>
          <w:p>
            <w:r>
              <w:rPr>
                <w:rFonts w:ascii="Arial" w:hAnsi="Arial"/>
                <w:sz w:val="19"/>
              </w:rPr>
              <w:t>**Nitrate (mg/L)**</w:t>
            </w:r>
          </w:p>
        </w:tc>
        <w:tc>
          <w:tcPr>
            <w:tcW w:type="dxa" w:w="2484"/>
          </w:tcPr>
          <w:p>
            <w:r>
              <w:rPr>
                <w:rFonts w:ascii="Arial" w:hAnsi="Arial"/>
                <w:sz w:val="19"/>
              </w:rPr>
              <w:t>Low (&lt;20)</w:t>
            </w:r>
          </w:p>
        </w:tc>
        <w:tc>
          <w:tcPr>
            <w:tcW w:type="dxa" w:w="2484"/>
          </w:tcPr>
          <w:p>
            <w:r>
              <w:rPr>
                <w:rFonts w:ascii="Arial" w:hAnsi="Arial"/>
                <w:sz w:val="19"/>
              </w:rPr>
              <w:t>High (up to 120)</w:t>
            </w:r>
          </w:p>
        </w:tc>
        <w:tc>
          <w:tcPr>
            <w:tcW w:type="dxa" w:w="2484"/>
          </w:tcPr>
          <w:p>
            <w:r>
              <w:rPr>
                <w:rFonts w:ascii="Arial" w:hAnsi="Arial"/>
                <w:sz w:val="19"/>
              </w:rPr>
              <w:t>Moderate</w:t>
            </w:r>
          </w:p>
        </w:tc>
      </w:tr>
      <w:tr>
        <w:tc>
          <w:tcPr>
            <w:tcW w:type="dxa" w:w="2484"/>
          </w:tcPr>
          <w:p>
            <w:r>
              <w:rPr>
                <w:rFonts w:ascii="Arial" w:hAnsi="Arial"/>
                <w:sz w:val="19"/>
              </w:rPr>
              <w:t>**Chloride (mg/L)**</w:t>
            </w:r>
          </w:p>
        </w:tc>
        <w:tc>
          <w:tcPr>
            <w:tcW w:type="dxa" w:w="2484"/>
          </w:tcPr>
          <w:p>
            <w:r>
              <w:rPr>
                <w:rFonts w:ascii="Arial" w:hAnsi="Arial"/>
                <w:sz w:val="19"/>
              </w:rPr>
              <w:t>Very Low (&lt;10)</w:t>
            </w:r>
          </w:p>
        </w:tc>
        <w:tc>
          <w:tcPr>
            <w:tcW w:type="dxa" w:w="2484"/>
          </w:tcPr>
          <w:p>
            <w:r>
              <w:rPr>
                <w:rFonts w:ascii="Arial" w:hAnsi="Arial"/>
                <w:sz w:val="19"/>
              </w:rPr>
              <w:t>Moderate (~75-80)</w:t>
            </w:r>
          </w:p>
        </w:tc>
        <w:tc>
          <w:tcPr>
            <w:tcW w:type="dxa" w:w="2484"/>
          </w:tcPr>
          <w:p>
            <w:r>
              <w:rPr>
                <w:rFonts w:ascii="Arial" w:hAnsi="Arial"/>
                <w:sz w:val="19"/>
              </w:rPr>
              <w:t>High (up to 500)</w:t>
            </w:r>
          </w:p>
        </w:tc>
      </w:tr>
      <w:tr>
        <w:tc>
          <w:tcPr>
            <w:tcW w:type="dxa" w:w="2484"/>
          </w:tcPr>
          <w:p>
            <w:r>
              <w:rPr>
                <w:rFonts w:ascii="Arial" w:hAnsi="Arial"/>
                <w:sz w:val="19"/>
              </w:rPr>
              <w:t>**Sulfate (mg/L)**</w:t>
            </w:r>
          </w:p>
        </w:tc>
        <w:tc>
          <w:tcPr>
            <w:tcW w:type="dxa" w:w="2484"/>
          </w:tcPr>
          <w:p>
            <w:r>
              <w:rPr>
                <w:rFonts w:ascii="Arial" w:hAnsi="Arial"/>
                <w:sz w:val="19"/>
              </w:rPr>
              <w:t>Very Low (&lt;50)</w:t>
            </w:r>
          </w:p>
        </w:tc>
        <w:tc>
          <w:tcPr>
            <w:tcW w:type="dxa" w:w="2484"/>
          </w:tcPr>
          <w:p>
            <w:r>
              <w:rPr>
                <w:rFonts w:ascii="Arial" w:hAnsi="Arial"/>
                <w:sz w:val="19"/>
              </w:rPr>
              <w:t>Moderate (~320)</w:t>
            </w:r>
          </w:p>
        </w:tc>
        <w:tc>
          <w:tcPr>
            <w:tcW w:type="dxa" w:w="2484"/>
          </w:tcPr>
          <w:p>
            <w:r>
              <w:rPr>
                <w:rFonts w:ascii="Arial" w:hAnsi="Arial"/>
                <w:sz w:val="19"/>
              </w:rPr>
              <w:t>Very High (up to 1229)</w:t>
            </w:r>
          </w:p>
        </w:tc>
      </w:tr>
      <w:tr>
        <w:tc>
          <w:tcPr>
            <w:tcW w:type="dxa" w:w="2484"/>
          </w:tcPr>
          <w:p>
            <w:r>
              <w:rPr>
                <w:rFonts w:ascii="Arial" w:hAnsi="Arial"/>
                <w:sz w:val="19"/>
              </w:rPr>
              <w:t>**pH**</w:t>
            </w:r>
          </w:p>
        </w:tc>
        <w:tc>
          <w:tcPr>
            <w:tcW w:type="dxa" w:w="2484"/>
          </w:tcPr>
          <w:p>
            <w:r>
              <w:rPr>
                <w:rFonts w:ascii="Arial" w:hAnsi="Arial"/>
                <w:sz w:val="19"/>
              </w:rPr>
              <w:t>Neutral (6.5-7.5)</w:t>
            </w:r>
          </w:p>
        </w:tc>
        <w:tc>
          <w:tcPr>
            <w:tcW w:type="dxa" w:w="2484"/>
          </w:tcPr>
          <w:p>
            <w:r>
              <w:rPr>
                <w:rFonts w:ascii="Arial" w:hAnsi="Arial"/>
                <w:sz w:val="19"/>
              </w:rPr>
              <w:t>Neutral (some acidic)</w:t>
            </w:r>
          </w:p>
        </w:tc>
        <w:tc>
          <w:tcPr>
            <w:tcW w:type="dxa" w:w="2484"/>
          </w:tcPr>
          <w:p>
            <w:r>
              <w:rPr>
                <w:rFonts w:ascii="Arial" w:hAnsi="Arial"/>
                <w:sz w:val="19"/>
              </w:rPr>
              <w:t>Neutral</w:t>
            </w:r>
          </w:p>
        </w:tc>
      </w:tr>
    </w:tbl>
    <w:p/>
    <w:p>
      <w:pPr>
        <w:pStyle w:val="Heading2"/>
      </w:pPr>
      <w:r>
        <w:t>3.2 Interpretation of City Differences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Arial" w:hAnsi="Arial"/>
                <w:b/>
                <w:sz w:val="19"/>
              </w:rPr>
              <w:t>**CityHydrochemical SignatureDominant Influences**</w:t>
            </w:r>
          </w:p>
        </w:tc>
        <w:tc>
          <w:tcPr>
            <w:tcW w:type="dxa" w:w="3312"/>
            <w:shd w:fill="D9EAF7"/>
          </w:tcPr>
          <w:p>
            <w:r>
              <w:rPr>
                <w:rFonts w:ascii="Arial" w:hAnsi="Arial"/>
                <w:b/>
                <w:sz w:val="19"/>
              </w:rPr>
            </w:r>
          </w:p>
        </w:tc>
        <w:tc>
          <w:tcPr>
            <w:tcW w:type="dxa" w:w="3312"/>
            <w:shd w:fill="D9EAF7"/>
          </w:tcPr>
          <w:p>
            <w:r>
              <w:rPr>
                <w:rFonts w:ascii="Arial" w:hAnsi="Arial"/>
                <w:b/>
                <w:sz w:val="19"/>
              </w:rPr>
            </w:r>
          </w:p>
        </w:tc>
      </w:tr>
      <w:tr>
        <w:tc>
          <w:tcPr>
            <w:tcW w:type="dxa" w:w="3312"/>
          </w:tcPr>
          <w:p>
            <w:r>
              <w:rPr>
                <w:rFonts w:ascii="Arial" w:hAnsi="Arial"/>
                <w:sz w:val="19"/>
              </w:rPr>
              <w:t>**Cologne**</w:t>
            </w:r>
          </w:p>
        </w:tc>
        <w:tc>
          <w:tcPr>
            <w:tcW w:type="dxa" w:w="3312"/>
          </w:tcPr>
          <w:p>
            <w:r>
              <w:rPr>
                <w:rFonts w:ascii="Arial" w:hAnsi="Arial"/>
                <w:sz w:val="19"/>
              </w:rPr>
              <w:t>Clean, low concentrations</w:t>
            </w:r>
          </w:p>
        </w:tc>
        <w:tc>
          <w:tcPr>
            <w:tcW w:type="dxa" w:w="3312"/>
          </w:tcPr>
          <w:p>
            <w:r>
              <w:rPr>
                <w:rFonts w:ascii="Arial" w:hAnsi="Arial"/>
                <w:sz w:val="19"/>
              </w:rPr>
              <w:t>Rhine River alluvial aquifer, urban environment</w:t>
            </w:r>
          </w:p>
        </w:tc>
      </w:tr>
      <w:tr>
        <w:tc>
          <w:tcPr>
            <w:tcW w:type="dxa" w:w="3312"/>
          </w:tcPr>
          <w:p>
            <w:r>
              <w:rPr>
                <w:rFonts w:ascii="Arial" w:hAnsi="Arial"/>
                <w:sz w:val="19"/>
              </w:rPr>
              <w:t>**Leipzig**</w:t>
            </w:r>
          </w:p>
        </w:tc>
        <w:tc>
          <w:tcPr>
            <w:tcW w:type="dxa" w:w="3312"/>
          </w:tcPr>
          <w:p>
            <w:r>
              <w:rPr>
                <w:rFonts w:ascii="Arial" w:hAnsi="Arial"/>
                <w:sz w:val="19"/>
              </w:rPr>
              <w:t>Elevated nitrate and sulfate</w:t>
            </w:r>
          </w:p>
        </w:tc>
        <w:tc>
          <w:tcPr>
            <w:tcW w:type="dxa" w:w="3312"/>
          </w:tcPr>
          <w:p>
            <w:r>
              <w:rPr>
                <w:rFonts w:ascii="Arial" w:hAnsi="Arial"/>
                <w:sz w:val="19"/>
              </w:rPr>
              <w:t>Agricultural activities, mining legacy, sandy soils</w:t>
            </w:r>
          </w:p>
        </w:tc>
      </w:tr>
      <w:tr>
        <w:tc>
          <w:tcPr>
            <w:tcW w:type="dxa" w:w="3312"/>
          </w:tcPr>
          <w:p>
            <w:r>
              <w:rPr>
                <w:rFonts w:ascii="Arial" w:hAnsi="Arial"/>
                <w:sz w:val="19"/>
              </w:rPr>
              <w:t>**Stuttgart**</w:t>
            </w:r>
          </w:p>
        </w:tc>
        <w:tc>
          <w:tcPr>
            <w:tcW w:type="dxa" w:w="3312"/>
          </w:tcPr>
          <w:p>
            <w:r>
              <w:rPr>
                <w:rFonts w:ascii="Arial" w:hAnsi="Arial"/>
                <w:sz w:val="19"/>
              </w:rPr>
              <w:t>High EC, chloride, sulfate</w:t>
            </w:r>
          </w:p>
        </w:tc>
        <w:tc>
          <w:tcPr>
            <w:tcW w:type="dxa" w:w="3312"/>
          </w:tcPr>
          <w:p>
            <w:r>
              <w:rPr>
                <w:rFonts w:ascii="Arial" w:hAnsi="Arial"/>
                <w:sz w:val="19"/>
              </w:rPr>
              <w:t>Industrial areas, Keuper geology, urban influences</w:t>
            </w:r>
          </w:p>
        </w:tc>
      </w:tr>
    </w:tbl>
    <w:p/>
    <w:p>
      <w:pPr>
        <w:pStyle w:val="Heading2"/>
      </w:pPr>
      <w:r>
        <w:t>3.3 Key Finding</w:t>
      </w:r>
    </w:p>
    <w:p>
      <w:r>
        <w:rPr>
          <w:i/>
        </w:rPr>
        <w:t>"The three cities exhibit distinct hydrochemical signatures, confirming that a single global model may not capture local spatial variability. This supports the need for regime-based or city-specific modeling approaches."</w:t>
      </w:r>
    </w:p>
    <w:p>
      <w:pPr>
        <w:pStyle w:val="Heading1"/>
      </w:pPr>
      <w:r>
        <w:t>4. TEMPORAL TRENDS</w:t>
      </w:r>
    </w:p>
    <w:p>
      <w:pPr>
        <w:pStyle w:val="Heading2"/>
      </w:pPr>
      <w:r>
        <w:t>4.1 Yearly Patterns by City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rFonts w:ascii="Arial" w:hAnsi="Arial"/>
                <w:b/>
                <w:sz w:val="19"/>
              </w:rPr>
              <w:t>**ParameterCologneLeipzigStuttgart**</w:t>
            </w:r>
          </w:p>
        </w:tc>
        <w:tc>
          <w:tcPr>
            <w:tcW w:type="dxa" w:w="2484"/>
            <w:shd w:fill="D9EAF7"/>
          </w:tcPr>
          <w:p>
            <w:r>
              <w:rPr>
                <w:rFonts w:ascii="Arial" w:hAnsi="Arial"/>
                <w:b/>
                <w:sz w:val="19"/>
              </w:rPr>
            </w:r>
          </w:p>
        </w:tc>
        <w:tc>
          <w:tcPr>
            <w:tcW w:type="dxa" w:w="2484"/>
            <w:shd w:fill="D9EAF7"/>
          </w:tcPr>
          <w:p>
            <w:r>
              <w:rPr>
                <w:rFonts w:ascii="Arial" w:hAnsi="Arial"/>
                <w:b/>
                <w:sz w:val="19"/>
              </w:rPr>
            </w:r>
          </w:p>
        </w:tc>
        <w:tc>
          <w:tcPr>
            <w:tcW w:type="dxa" w:w="2484"/>
            <w:shd w:fill="D9EAF7"/>
          </w:tcPr>
          <w:p>
            <w:r>
              <w:rPr>
                <w:rFonts w:ascii="Arial" w:hAnsi="Arial"/>
                <w:b/>
                <w:sz w:val="19"/>
              </w:rPr>
            </w:r>
          </w:p>
        </w:tc>
      </w:tr>
      <w:tr>
        <w:tc>
          <w:tcPr>
            <w:tcW w:type="dxa" w:w="2484"/>
          </w:tcPr>
          <w:p>
            <w:r>
              <w:rPr>
                <w:rFonts w:ascii="Arial" w:hAnsi="Arial"/>
                <w:sz w:val="19"/>
              </w:rPr>
              <w:t>**EC**</w:t>
            </w:r>
          </w:p>
        </w:tc>
        <w:tc>
          <w:tcPr>
            <w:tcW w:type="dxa" w:w="2484"/>
          </w:tcPr>
          <w:p>
            <w:r>
              <w:rPr>
                <w:rFonts w:ascii="Arial" w:hAnsi="Arial"/>
                <w:sz w:val="19"/>
              </w:rPr>
              <w:t>Stable (~650-700)</w:t>
            </w:r>
          </w:p>
        </w:tc>
        <w:tc>
          <w:tcPr>
            <w:tcW w:type="dxa" w:w="2484"/>
          </w:tcPr>
          <w:p>
            <w:r>
              <w:rPr>
                <w:rFonts w:ascii="Arial" w:hAnsi="Arial"/>
                <w:sz w:val="19"/>
              </w:rPr>
              <w:t>Stable (~1100-1200)</w:t>
            </w:r>
          </w:p>
        </w:tc>
        <w:tc>
          <w:tcPr>
            <w:tcW w:type="dxa" w:w="2484"/>
          </w:tcPr>
          <w:p>
            <w:r>
              <w:rPr>
                <w:rFonts w:ascii="Arial" w:hAnsi="Arial"/>
                <w:sz w:val="19"/>
              </w:rPr>
              <w:t>Decreasing (~1400 → ~1170)</w:t>
            </w:r>
          </w:p>
        </w:tc>
      </w:tr>
      <w:tr>
        <w:tc>
          <w:tcPr>
            <w:tcW w:type="dxa" w:w="2484"/>
          </w:tcPr>
          <w:p>
            <w:r>
              <w:rPr>
                <w:rFonts w:ascii="Arial" w:hAnsi="Arial"/>
                <w:sz w:val="19"/>
              </w:rPr>
              <w:t>**Nitrate**</w:t>
            </w:r>
          </w:p>
        </w:tc>
        <w:tc>
          <w:tcPr>
            <w:tcW w:type="dxa" w:w="2484"/>
          </w:tcPr>
          <w:p>
            <w:r>
              <w:rPr>
                <w:rFonts w:ascii="Arial" w:hAnsi="Arial"/>
                <w:sz w:val="19"/>
              </w:rPr>
              <w:t>Stable (~3-5)</w:t>
            </w:r>
          </w:p>
        </w:tc>
        <w:tc>
          <w:tcPr>
            <w:tcW w:type="dxa" w:w="2484"/>
          </w:tcPr>
          <w:p>
            <w:r>
              <w:rPr>
                <w:rFonts w:ascii="Arial" w:hAnsi="Arial"/>
                <w:sz w:val="19"/>
              </w:rPr>
              <w:t>Decreasing (~5 → ~2)</w:t>
            </w:r>
          </w:p>
        </w:tc>
        <w:tc>
          <w:tcPr>
            <w:tcW w:type="dxa" w:w="2484"/>
          </w:tcPr>
          <w:p>
            <w:r>
              <w:rPr>
                <w:rFonts w:ascii="Arial" w:hAnsi="Arial"/>
                <w:sz w:val="19"/>
              </w:rPr>
              <w:t>Stable (~2-4)</w:t>
            </w:r>
          </w:p>
        </w:tc>
      </w:tr>
      <w:tr>
        <w:tc>
          <w:tcPr>
            <w:tcW w:type="dxa" w:w="2484"/>
          </w:tcPr>
          <w:p>
            <w:r>
              <w:rPr>
                <w:rFonts w:ascii="Arial" w:hAnsi="Arial"/>
                <w:sz w:val="19"/>
              </w:rPr>
              <w:t>**Chloride**</w:t>
            </w:r>
          </w:p>
        </w:tc>
        <w:tc>
          <w:tcPr>
            <w:tcW w:type="dxa" w:w="2484"/>
          </w:tcPr>
          <w:p>
            <w:r>
              <w:rPr>
                <w:rFonts w:ascii="Arial" w:hAnsi="Arial"/>
                <w:sz w:val="19"/>
              </w:rPr>
              <w:t>Stable (~1-3)</w:t>
            </w:r>
          </w:p>
        </w:tc>
        <w:tc>
          <w:tcPr>
            <w:tcW w:type="dxa" w:w="2484"/>
          </w:tcPr>
          <w:p>
            <w:r>
              <w:rPr>
                <w:rFonts w:ascii="Arial" w:hAnsi="Arial"/>
                <w:sz w:val="19"/>
              </w:rPr>
              <w:t>Stable (~75-80)</w:t>
            </w:r>
          </w:p>
        </w:tc>
        <w:tc>
          <w:tcPr>
            <w:tcW w:type="dxa" w:w="2484"/>
          </w:tcPr>
          <w:p>
            <w:r>
              <w:rPr>
                <w:rFonts w:ascii="Arial" w:hAnsi="Arial"/>
                <w:sz w:val="19"/>
              </w:rPr>
              <w:t>Decreasing (~140 → ~80)</w:t>
            </w:r>
          </w:p>
        </w:tc>
      </w:tr>
      <w:tr>
        <w:tc>
          <w:tcPr>
            <w:tcW w:type="dxa" w:w="2484"/>
          </w:tcPr>
          <w:p>
            <w:r>
              <w:rPr>
                <w:rFonts w:ascii="Arial" w:hAnsi="Arial"/>
                <w:sz w:val="19"/>
              </w:rPr>
              <w:t>**Sulfate**</w:t>
            </w:r>
          </w:p>
        </w:tc>
        <w:tc>
          <w:tcPr>
            <w:tcW w:type="dxa" w:w="2484"/>
          </w:tcPr>
          <w:p>
            <w:r>
              <w:rPr>
                <w:rFonts w:ascii="Arial" w:hAnsi="Arial"/>
                <w:sz w:val="19"/>
              </w:rPr>
              <w:t>Stable (~20)</w:t>
            </w:r>
          </w:p>
        </w:tc>
        <w:tc>
          <w:tcPr>
            <w:tcW w:type="dxa" w:w="2484"/>
          </w:tcPr>
          <w:p>
            <w:r>
              <w:rPr>
                <w:rFonts w:ascii="Arial" w:hAnsi="Arial"/>
                <w:sz w:val="19"/>
              </w:rPr>
              <w:t>Stable (~320-330)</w:t>
            </w:r>
          </w:p>
        </w:tc>
        <w:tc>
          <w:tcPr>
            <w:tcW w:type="dxa" w:w="2484"/>
          </w:tcPr>
          <w:p>
            <w:r>
              <w:rPr>
                <w:rFonts w:ascii="Arial" w:hAnsi="Arial"/>
                <w:sz w:val="19"/>
              </w:rPr>
              <w:t>Decreasing (~350 → ~280)</w:t>
            </w:r>
          </w:p>
        </w:tc>
      </w:tr>
      <w:tr>
        <w:tc>
          <w:tcPr>
            <w:tcW w:type="dxa" w:w="2484"/>
          </w:tcPr>
          <w:p>
            <w:r>
              <w:rPr>
                <w:rFonts w:ascii="Arial" w:hAnsi="Arial"/>
                <w:sz w:val="19"/>
              </w:rPr>
              <w:t>**pH**</w:t>
            </w:r>
          </w:p>
        </w:tc>
        <w:tc>
          <w:tcPr>
            <w:tcW w:type="dxa" w:w="2484"/>
          </w:tcPr>
          <w:p>
            <w:r>
              <w:rPr>
                <w:rFonts w:ascii="Arial" w:hAnsi="Arial"/>
                <w:sz w:val="19"/>
              </w:rPr>
              <w:t>Stable (6.5-7.0)</w:t>
            </w:r>
          </w:p>
        </w:tc>
        <w:tc>
          <w:tcPr>
            <w:tcW w:type="dxa" w:w="2484"/>
          </w:tcPr>
          <w:p>
            <w:r>
              <w:rPr>
                <w:rFonts w:ascii="Arial" w:hAnsi="Arial"/>
                <w:sz w:val="19"/>
              </w:rPr>
              <w:t>Stable (6.7-7.0)</w:t>
            </w:r>
          </w:p>
        </w:tc>
        <w:tc>
          <w:tcPr>
            <w:tcW w:type="dxa" w:w="2484"/>
          </w:tcPr>
          <w:p>
            <w:r>
              <w:rPr>
                <w:rFonts w:ascii="Arial" w:hAnsi="Arial"/>
                <w:sz w:val="19"/>
              </w:rPr>
              <w:t>Stable (6.9-7.1)</w:t>
            </w:r>
          </w:p>
        </w:tc>
      </w:tr>
    </w:tbl>
    <w:p/>
    <w:p>
      <w:pPr>
        <w:pStyle w:val="Heading2"/>
      </w:pPr>
      <w:r>
        <w:t>4.2 Interpretation of Trends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Arial" w:hAnsi="Arial"/>
                <w:b/>
                <w:sz w:val="19"/>
              </w:rPr>
              <w:t>**TrendInterpretation**</w:t>
            </w:r>
          </w:p>
        </w:tc>
        <w:tc>
          <w:tcPr>
            <w:tcW w:type="dxa" w:w="4968"/>
            <w:shd w:fill="D9EAF7"/>
          </w:tcPr>
          <w:p>
            <w:r>
              <w:rPr>
                <w:rFonts w:ascii="Arial" w:hAnsi="Arial"/>
                <w:b/>
                <w:sz w:val="19"/>
              </w:rPr>
            </w:r>
          </w:p>
        </w:tc>
      </w:tr>
      <w:tr>
        <w:tc>
          <w:tcPr>
            <w:tcW w:type="dxa" w:w="4968"/>
          </w:tcPr>
          <w:p>
            <w:r>
              <w:rPr>
                <w:rFonts w:ascii="Arial" w:hAnsi="Arial"/>
                <w:sz w:val="19"/>
              </w:rPr>
              <w:t>**Stuttgart: Decreasing EC, Chloride, Sulfate**</w:t>
            </w:r>
          </w:p>
        </w:tc>
        <w:tc>
          <w:tcPr>
            <w:tcW w:type="dxa" w:w="4968"/>
          </w:tcPr>
          <w:p>
            <w:r>
              <w:rPr>
                <w:rFonts w:ascii="Arial" w:hAnsi="Arial"/>
                <w:sz w:val="19"/>
              </w:rPr>
              <w:t>Improvements in water quality; possible industrial changes, reduced input, or dilution</w:t>
            </w:r>
          </w:p>
        </w:tc>
      </w:tr>
      <w:tr>
        <w:tc>
          <w:tcPr>
            <w:tcW w:type="dxa" w:w="4968"/>
          </w:tcPr>
          <w:p>
            <w:r>
              <w:rPr>
                <w:rFonts w:ascii="Arial" w:hAnsi="Arial"/>
                <w:sz w:val="19"/>
              </w:rPr>
              <w:t>**Leipzig: Decreasing Nitrate**</w:t>
            </w:r>
          </w:p>
        </w:tc>
        <w:tc>
          <w:tcPr>
            <w:tcW w:type="dxa" w:w="4968"/>
          </w:tcPr>
          <w:p>
            <w:r>
              <w:rPr>
                <w:rFonts w:ascii="Arial" w:hAnsi="Arial"/>
                <w:sz w:val="19"/>
              </w:rPr>
              <w:t>Reduction in agricultural pollution; improved management practices</w:t>
            </w:r>
          </w:p>
        </w:tc>
      </w:tr>
      <w:tr>
        <w:tc>
          <w:tcPr>
            <w:tcW w:type="dxa" w:w="4968"/>
          </w:tcPr>
          <w:p>
            <w:r>
              <w:rPr>
                <w:rFonts w:ascii="Arial" w:hAnsi="Arial"/>
                <w:sz w:val="19"/>
              </w:rPr>
              <w:t>**Cologne: Stable**</w:t>
            </w:r>
          </w:p>
        </w:tc>
        <w:tc>
          <w:tcPr>
            <w:tcW w:type="dxa" w:w="4968"/>
          </w:tcPr>
          <w:p>
            <w:r>
              <w:rPr>
                <w:rFonts w:ascii="Arial" w:hAnsi="Arial"/>
                <w:sz w:val="19"/>
              </w:rPr>
              <w:t>Consistent groundwater quality; well-established baseline</w:t>
            </w:r>
          </w:p>
        </w:tc>
      </w:tr>
    </w:tbl>
    <w:p/>
    <w:p>
      <w:pPr>
        <w:pStyle w:val="Heading2"/>
      </w:pPr>
      <w:r>
        <w:t>4.3 Key Finding</w:t>
      </w:r>
    </w:p>
    <w:p>
      <w:r>
        <w:rPr>
          <w:i/>
        </w:rPr>
        <w:t>"Stuttgart showed the most significant improvements over the 2015-2024 period, with EC, chloride, and sulfate all exhibiting decreasing trends. Leipzig showed decreasing nitrate, suggesting improvements in agricultural practices. Cologne remained stable, characteristic of a well-established urban groundwater system."</w:t>
      </w:r>
    </w:p>
    <w:p>
      <w:pPr>
        <w:pStyle w:val="Heading1"/>
      </w:pPr>
      <w:r>
        <w:t>5. CORRELATION ANALYSIS</w:t>
      </w:r>
    </w:p>
    <w:p>
      <w:pPr>
        <w:pStyle w:val="Heading2"/>
      </w:pPr>
      <w:r>
        <w:t>5.1 Groundwater Parameter Correlations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Arial" w:hAnsi="Arial"/>
                <w:b/>
                <w:sz w:val="19"/>
              </w:rPr>
              <w:t>**RelationshipCorrelationStrength**</w:t>
            </w:r>
          </w:p>
        </w:tc>
        <w:tc>
          <w:tcPr>
            <w:tcW w:type="dxa" w:w="3312"/>
            <w:shd w:fill="D9EAF7"/>
          </w:tcPr>
          <w:p>
            <w:r>
              <w:rPr>
                <w:rFonts w:ascii="Arial" w:hAnsi="Arial"/>
                <w:b/>
                <w:sz w:val="19"/>
              </w:rPr>
            </w:r>
          </w:p>
        </w:tc>
        <w:tc>
          <w:tcPr>
            <w:tcW w:type="dxa" w:w="3312"/>
            <w:shd w:fill="D9EAF7"/>
          </w:tcPr>
          <w:p>
            <w:r>
              <w:rPr>
                <w:rFonts w:ascii="Arial" w:hAnsi="Arial"/>
                <w:b/>
                <w:sz w:val="19"/>
              </w:rPr>
            </w:r>
          </w:p>
        </w:tc>
      </w:tr>
      <w:tr>
        <w:tc>
          <w:tcPr>
            <w:tcW w:type="dxa" w:w="3312"/>
          </w:tcPr>
          <w:p>
            <w:r>
              <w:rPr>
                <w:rFonts w:ascii="Arial" w:hAnsi="Arial"/>
                <w:sz w:val="19"/>
              </w:rPr>
              <w:t>EC ↔ Sulfate</w:t>
            </w:r>
          </w:p>
        </w:tc>
        <w:tc>
          <w:tcPr>
            <w:tcW w:type="dxa" w:w="3312"/>
          </w:tcPr>
          <w:p>
            <w:r>
              <w:rPr>
                <w:rFonts w:ascii="Arial" w:hAnsi="Arial"/>
                <w:sz w:val="19"/>
              </w:rPr>
              <w:t>**0.77**</w:t>
            </w:r>
          </w:p>
        </w:tc>
        <w:tc>
          <w:tcPr>
            <w:tcW w:type="dxa" w:w="3312"/>
          </w:tcPr>
          <w:p>
            <w:r>
              <w:rPr>
                <w:rFonts w:ascii="Arial" w:hAnsi="Arial"/>
                <w:sz w:val="19"/>
              </w:rPr>
              <w:t>Very Strong</w:t>
            </w:r>
          </w:p>
        </w:tc>
      </w:tr>
      <w:tr>
        <w:tc>
          <w:tcPr>
            <w:tcW w:type="dxa" w:w="3312"/>
          </w:tcPr>
          <w:p>
            <w:r>
              <w:rPr>
                <w:rFonts w:ascii="Arial" w:hAnsi="Arial"/>
                <w:sz w:val="19"/>
              </w:rPr>
              <w:t>EC ↔ Chloride</w:t>
            </w:r>
          </w:p>
        </w:tc>
        <w:tc>
          <w:tcPr>
            <w:tcW w:type="dxa" w:w="3312"/>
          </w:tcPr>
          <w:p>
            <w:r>
              <w:rPr>
                <w:rFonts w:ascii="Arial" w:hAnsi="Arial"/>
                <w:sz w:val="19"/>
              </w:rPr>
              <w:t>**0.70**</w:t>
            </w:r>
          </w:p>
        </w:tc>
        <w:tc>
          <w:tcPr>
            <w:tcW w:type="dxa" w:w="3312"/>
          </w:tcPr>
          <w:p>
            <w:r>
              <w:rPr>
                <w:rFonts w:ascii="Arial" w:hAnsi="Arial"/>
                <w:sz w:val="19"/>
              </w:rPr>
              <w:t>Very Strong</w:t>
            </w:r>
          </w:p>
        </w:tc>
      </w:tr>
      <w:tr>
        <w:tc>
          <w:tcPr>
            <w:tcW w:type="dxa" w:w="3312"/>
          </w:tcPr>
          <w:p>
            <w:r>
              <w:rPr>
                <w:rFonts w:ascii="Arial" w:hAnsi="Arial"/>
                <w:sz w:val="19"/>
              </w:rPr>
              <w:t>Sulfate ↔ Chloride</w:t>
            </w:r>
          </w:p>
        </w:tc>
        <w:tc>
          <w:tcPr>
            <w:tcW w:type="dxa" w:w="3312"/>
          </w:tcPr>
          <w:p>
            <w:r>
              <w:rPr>
                <w:rFonts w:ascii="Arial" w:hAnsi="Arial"/>
                <w:sz w:val="19"/>
              </w:rPr>
              <w:t>**0.53**</w:t>
            </w:r>
          </w:p>
        </w:tc>
        <w:tc>
          <w:tcPr>
            <w:tcW w:type="dxa" w:w="3312"/>
          </w:tcPr>
          <w:p>
            <w:r>
              <w:rPr>
                <w:rFonts w:ascii="Arial" w:hAnsi="Arial"/>
                <w:sz w:val="19"/>
              </w:rPr>
              <w:t>Moderate</w:t>
            </w:r>
          </w:p>
        </w:tc>
      </w:tr>
      <w:tr>
        <w:tc>
          <w:tcPr>
            <w:tcW w:type="dxa" w:w="3312"/>
          </w:tcPr>
          <w:p>
            <w:r>
              <w:rPr>
                <w:rFonts w:ascii="Arial" w:hAnsi="Arial"/>
                <w:sz w:val="19"/>
              </w:rPr>
              <w:t>Manganese ↔ Iron</w:t>
            </w:r>
          </w:p>
        </w:tc>
        <w:tc>
          <w:tcPr>
            <w:tcW w:type="dxa" w:w="3312"/>
          </w:tcPr>
          <w:p>
            <w:r>
              <w:rPr>
                <w:rFonts w:ascii="Arial" w:hAnsi="Arial"/>
                <w:sz w:val="19"/>
              </w:rPr>
              <w:t>**0.53**</w:t>
            </w:r>
          </w:p>
        </w:tc>
        <w:tc>
          <w:tcPr>
            <w:tcW w:type="dxa" w:w="3312"/>
          </w:tcPr>
          <w:p>
            <w:r>
              <w:rPr>
                <w:rFonts w:ascii="Arial" w:hAnsi="Arial"/>
                <w:sz w:val="19"/>
              </w:rPr>
              <w:t>Moderate</w:t>
            </w:r>
          </w:p>
        </w:tc>
      </w:tr>
      <w:tr>
        <w:tc>
          <w:tcPr>
            <w:tcW w:type="dxa" w:w="3312"/>
          </w:tcPr>
          <w:p>
            <w:r>
              <w:rPr>
                <w:rFonts w:ascii="Arial" w:hAnsi="Arial"/>
                <w:sz w:val="19"/>
              </w:rPr>
              <w:t>EC ↔ Manganese</w:t>
            </w:r>
          </w:p>
        </w:tc>
        <w:tc>
          <w:tcPr>
            <w:tcW w:type="dxa" w:w="3312"/>
          </w:tcPr>
          <w:p>
            <w:r>
              <w:rPr>
                <w:rFonts w:ascii="Arial" w:hAnsi="Arial"/>
                <w:sz w:val="19"/>
              </w:rPr>
              <w:t>**0.43**</w:t>
            </w:r>
          </w:p>
        </w:tc>
        <w:tc>
          <w:tcPr>
            <w:tcW w:type="dxa" w:w="3312"/>
          </w:tcPr>
          <w:p>
            <w:r>
              <w:rPr>
                <w:rFonts w:ascii="Arial" w:hAnsi="Arial"/>
                <w:sz w:val="19"/>
              </w:rPr>
              <w:t>Moderate</w:t>
            </w:r>
          </w:p>
        </w:tc>
      </w:tr>
      <w:tr>
        <w:tc>
          <w:tcPr>
            <w:tcW w:type="dxa" w:w="3312"/>
          </w:tcPr>
          <w:p>
            <w:r>
              <w:rPr>
                <w:rFonts w:ascii="Arial" w:hAnsi="Arial"/>
                <w:sz w:val="19"/>
              </w:rPr>
              <w:t>Sulfate ↔ Nitrate</w:t>
            </w:r>
          </w:p>
        </w:tc>
        <w:tc>
          <w:tcPr>
            <w:tcW w:type="dxa" w:w="3312"/>
          </w:tcPr>
          <w:p>
            <w:r>
              <w:rPr>
                <w:rFonts w:ascii="Arial" w:hAnsi="Arial"/>
                <w:sz w:val="19"/>
              </w:rPr>
              <w:t>**0.30**</w:t>
            </w:r>
          </w:p>
        </w:tc>
        <w:tc>
          <w:tcPr>
            <w:tcW w:type="dxa" w:w="3312"/>
          </w:tcPr>
          <w:p>
            <w:r>
              <w:rPr>
                <w:rFonts w:ascii="Arial" w:hAnsi="Arial"/>
                <w:sz w:val="19"/>
              </w:rPr>
              <w:t>Weak-Moderate</w:t>
            </w:r>
          </w:p>
        </w:tc>
      </w:tr>
    </w:tbl>
    <w:p/>
    <w:p>
      <w:pPr>
        <w:pStyle w:val="Heading2"/>
      </w:pPr>
      <w:r>
        <w:t>5.2 Climate-Groundwater Correlations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rFonts w:ascii="Arial" w:hAnsi="Arial"/>
                <w:b/>
                <w:sz w:val="19"/>
              </w:rPr>
              <w:t>**Climate VariableParameterCorrelationInterpretation**</w:t>
            </w:r>
          </w:p>
        </w:tc>
        <w:tc>
          <w:tcPr>
            <w:tcW w:type="dxa" w:w="2484"/>
            <w:shd w:fill="D9EAF7"/>
          </w:tcPr>
          <w:p>
            <w:r>
              <w:rPr>
                <w:rFonts w:ascii="Arial" w:hAnsi="Arial"/>
                <w:b/>
                <w:sz w:val="19"/>
              </w:rPr>
            </w:r>
          </w:p>
        </w:tc>
        <w:tc>
          <w:tcPr>
            <w:tcW w:type="dxa" w:w="2484"/>
            <w:shd w:fill="D9EAF7"/>
          </w:tcPr>
          <w:p>
            <w:r>
              <w:rPr>
                <w:rFonts w:ascii="Arial" w:hAnsi="Arial"/>
                <w:b/>
                <w:sz w:val="19"/>
              </w:rPr>
            </w:r>
          </w:p>
        </w:tc>
        <w:tc>
          <w:tcPr>
            <w:tcW w:type="dxa" w:w="2484"/>
            <w:shd w:fill="D9EAF7"/>
          </w:tcPr>
          <w:p>
            <w:r>
              <w:rPr>
                <w:rFonts w:ascii="Arial" w:hAnsi="Arial"/>
                <w:b/>
                <w:sz w:val="19"/>
              </w:rPr>
            </w:r>
          </w:p>
        </w:tc>
      </w:tr>
      <w:tr>
        <w:tc>
          <w:tcPr>
            <w:tcW w:type="dxa" w:w="2484"/>
          </w:tcPr>
          <w:p>
            <w:r>
              <w:rPr>
                <w:rFonts w:ascii="Arial" w:hAnsi="Arial"/>
                <w:sz w:val="19"/>
              </w:rPr>
              <w:t>**Rainfall**</w:t>
            </w:r>
          </w:p>
        </w:tc>
        <w:tc>
          <w:tcPr>
            <w:tcW w:type="dxa" w:w="2484"/>
          </w:tcPr>
          <w:p>
            <w:r>
              <w:rPr>
                <w:rFonts w:ascii="Arial" w:hAnsi="Arial"/>
                <w:sz w:val="19"/>
              </w:rPr>
              <w:t>Sulfate</w:t>
            </w:r>
          </w:p>
        </w:tc>
        <w:tc>
          <w:tcPr>
            <w:tcW w:type="dxa" w:w="2484"/>
          </w:tcPr>
          <w:p>
            <w:r>
              <w:rPr>
                <w:rFonts w:ascii="Arial" w:hAnsi="Arial"/>
                <w:sz w:val="19"/>
              </w:rPr>
              <w:t>**-0.55**</w:t>
            </w:r>
          </w:p>
        </w:tc>
        <w:tc>
          <w:tcPr>
            <w:tcW w:type="dxa" w:w="2484"/>
          </w:tcPr>
          <w:p>
            <w:r>
              <w:rPr>
                <w:rFonts w:ascii="Arial" w:hAnsi="Arial"/>
                <w:sz w:val="19"/>
              </w:rPr>
              <w:t>Dilution effect (strong)</w:t>
            </w:r>
          </w:p>
        </w:tc>
      </w:tr>
      <w:tr>
        <w:tc>
          <w:tcPr>
            <w:tcW w:type="dxa" w:w="2484"/>
          </w:tcPr>
          <w:p>
            <w:r>
              <w:rPr>
                <w:rFonts w:ascii="Arial" w:hAnsi="Arial"/>
                <w:sz w:val="19"/>
              </w:rPr>
              <w:t>**Rainfall**</w:t>
            </w:r>
          </w:p>
        </w:tc>
        <w:tc>
          <w:tcPr>
            <w:tcW w:type="dxa" w:w="2484"/>
          </w:tcPr>
          <w:p>
            <w:r>
              <w:rPr>
                <w:rFonts w:ascii="Arial" w:hAnsi="Arial"/>
                <w:sz w:val="19"/>
              </w:rPr>
              <w:t>Chloride</w:t>
            </w:r>
          </w:p>
        </w:tc>
        <w:tc>
          <w:tcPr>
            <w:tcW w:type="dxa" w:w="2484"/>
          </w:tcPr>
          <w:p>
            <w:r>
              <w:rPr>
                <w:rFonts w:ascii="Arial" w:hAnsi="Arial"/>
                <w:sz w:val="19"/>
              </w:rPr>
              <w:t>-0.32</w:t>
            </w:r>
          </w:p>
        </w:tc>
        <w:tc>
          <w:tcPr>
            <w:tcW w:type="dxa" w:w="2484"/>
          </w:tcPr>
          <w:p>
            <w:r>
              <w:rPr>
                <w:rFonts w:ascii="Arial" w:hAnsi="Arial"/>
                <w:sz w:val="19"/>
              </w:rPr>
              <w:t>Dilution effect (moderate)</w:t>
            </w:r>
          </w:p>
        </w:tc>
      </w:tr>
      <w:tr>
        <w:tc>
          <w:tcPr>
            <w:tcW w:type="dxa" w:w="2484"/>
          </w:tcPr>
          <w:p>
            <w:r>
              <w:rPr>
                <w:rFonts w:ascii="Arial" w:hAnsi="Arial"/>
                <w:sz w:val="19"/>
              </w:rPr>
              <w:t>**Rainfall**</w:t>
            </w:r>
          </w:p>
        </w:tc>
        <w:tc>
          <w:tcPr>
            <w:tcW w:type="dxa" w:w="2484"/>
          </w:tcPr>
          <w:p>
            <w:r>
              <w:rPr>
                <w:rFonts w:ascii="Arial" w:hAnsi="Arial"/>
                <w:sz w:val="19"/>
              </w:rPr>
              <w:t>EC</w:t>
            </w:r>
          </w:p>
        </w:tc>
        <w:tc>
          <w:tcPr>
            <w:tcW w:type="dxa" w:w="2484"/>
          </w:tcPr>
          <w:p>
            <w:r>
              <w:rPr>
                <w:rFonts w:ascii="Arial" w:hAnsi="Arial"/>
                <w:sz w:val="19"/>
              </w:rPr>
              <w:t>-0.29</w:t>
            </w:r>
          </w:p>
        </w:tc>
        <w:tc>
          <w:tcPr>
            <w:tcW w:type="dxa" w:w="2484"/>
          </w:tcPr>
          <w:p>
            <w:r>
              <w:rPr>
                <w:rFonts w:ascii="Arial" w:hAnsi="Arial"/>
                <w:sz w:val="19"/>
              </w:rPr>
              <w:t>Dilution effect (moderate)</w:t>
            </w:r>
          </w:p>
        </w:tc>
      </w:tr>
      <w:tr>
        <w:tc>
          <w:tcPr>
            <w:tcW w:type="dxa" w:w="2484"/>
          </w:tcPr>
          <w:p>
            <w:r>
              <w:rPr>
                <w:rFonts w:ascii="Arial" w:hAnsi="Arial"/>
                <w:sz w:val="19"/>
              </w:rPr>
              <w:t>**Rainfall**</w:t>
            </w:r>
          </w:p>
        </w:tc>
        <w:tc>
          <w:tcPr>
            <w:tcW w:type="dxa" w:w="2484"/>
          </w:tcPr>
          <w:p>
            <w:r>
              <w:rPr>
                <w:rFonts w:ascii="Arial" w:hAnsi="Arial"/>
                <w:sz w:val="19"/>
              </w:rPr>
              <w:t>Nitrate</w:t>
            </w:r>
          </w:p>
        </w:tc>
        <w:tc>
          <w:tcPr>
            <w:tcW w:type="dxa" w:w="2484"/>
          </w:tcPr>
          <w:p>
            <w:r>
              <w:rPr>
                <w:rFonts w:ascii="Arial" w:hAnsi="Arial"/>
                <w:sz w:val="19"/>
              </w:rPr>
              <w:t>-0.23</w:t>
            </w:r>
          </w:p>
        </w:tc>
        <w:tc>
          <w:tcPr>
            <w:tcW w:type="dxa" w:w="2484"/>
          </w:tcPr>
          <w:p>
            <w:r>
              <w:rPr>
                <w:rFonts w:ascii="Arial" w:hAnsi="Arial"/>
                <w:sz w:val="19"/>
              </w:rPr>
              <w:t>Dilution effect (weak)</w:t>
            </w:r>
          </w:p>
        </w:tc>
      </w:tr>
      <w:tr>
        <w:tc>
          <w:tcPr>
            <w:tcW w:type="dxa" w:w="2484"/>
          </w:tcPr>
          <w:p>
            <w:r>
              <w:rPr>
                <w:rFonts w:ascii="Arial" w:hAnsi="Arial"/>
                <w:sz w:val="19"/>
              </w:rPr>
              <w:t>**Temperature**</w:t>
            </w:r>
          </w:p>
        </w:tc>
        <w:tc>
          <w:tcPr>
            <w:tcW w:type="dxa" w:w="2484"/>
          </w:tcPr>
          <w:p>
            <w:r>
              <w:rPr>
                <w:rFonts w:ascii="Arial" w:hAnsi="Arial"/>
                <w:sz w:val="19"/>
              </w:rPr>
              <w:t>Sulfate</w:t>
            </w:r>
          </w:p>
        </w:tc>
        <w:tc>
          <w:tcPr>
            <w:tcW w:type="dxa" w:w="2484"/>
          </w:tcPr>
          <w:p>
            <w:r>
              <w:rPr>
                <w:rFonts w:ascii="Arial" w:hAnsi="Arial"/>
                <w:sz w:val="19"/>
              </w:rPr>
              <w:t>-0.35</w:t>
            </w:r>
          </w:p>
        </w:tc>
        <w:tc>
          <w:tcPr>
            <w:tcW w:type="dxa" w:w="2484"/>
          </w:tcPr>
          <w:p>
            <w:r>
              <w:rPr>
                <w:rFonts w:ascii="Arial" w:hAnsi="Arial"/>
                <w:sz w:val="19"/>
              </w:rPr>
              <w:t>Temperature effects</w:t>
            </w:r>
          </w:p>
        </w:tc>
      </w:tr>
      <w:tr>
        <w:tc>
          <w:tcPr>
            <w:tcW w:type="dxa" w:w="2484"/>
          </w:tcPr>
          <w:p>
            <w:r>
              <w:rPr>
                <w:rFonts w:ascii="Arial" w:hAnsi="Arial"/>
                <w:sz w:val="19"/>
              </w:rPr>
              <w:t>**Temperature**</w:t>
            </w:r>
          </w:p>
        </w:tc>
        <w:tc>
          <w:tcPr>
            <w:tcW w:type="dxa" w:w="2484"/>
          </w:tcPr>
          <w:p>
            <w:r>
              <w:rPr>
                <w:rFonts w:ascii="Arial" w:hAnsi="Arial"/>
                <w:sz w:val="19"/>
              </w:rPr>
              <w:t>Chloride</w:t>
            </w:r>
          </w:p>
        </w:tc>
        <w:tc>
          <w:tcPr>
            <w:tcW w:type="dxa" w:w="2484"/>
          </w:tcPr>
          <w:p>
            <w:r>
              <w:rPr>
                <w:rFonts w:ascii="Arial" w:hAnsi="Arial"/>
                <w:sz w:val="19"/>
              </w:rPr>
              <w:t>-0.31</w:t>
            </w:r>
          </w:p>
        </w:tc>
        <w:tc>
          <w:tcPr>
            <w:tcW w:type="dxa" w:w="2484"/>
          </w:tcPr>
          <w:p>
            <w:r>
              <w:rPr>
                <w:rFonts w:ascii="Arial" w:hAnsi="Arial"/>
                <w:sz w:val="19"/>
              </w:rPr>
              <w:t>Temperature effects</w:t>
            </w:r>
          </w:p>
        </w:tc>
      </w:tr>
      <w:tr>
        <w:tc>
          <w:tcPr>
            <w:tcW w:type="dxa" w:w="2484"/>
          </w:tcPr>
          <w:p>
            <w:r>
              <w:rPr>
                <w:rFonts w:ascii="Arial" w:hAnsi="Arial"/>
                <w:sz w:val="19"/>
              </w:rPr>
              <w:t>**SPI**</w:t>
            </w:r>
          </w:p>
        </w:tc>
        <w:tc>
          <w:tcPr>
            <w:tcW w:type="dxa" w:w="2484"/>
          </w:tcPr>
          <w:p>
            <w:r>
              <w:rPr>
                <w:rFonts w:ascii="Arial" w:hAnsi="Arial"/>
                <w:sz w:val="19"/>
              </w:rPr>
              <w:t>All parameters</w:t>
            </w:r>
          </w:p>
        </w:tc>
        <w:tc>
          <w:tcPr>
            <w:tcW w:type="dxa" w:w="2484"/>
          </w:tcPr>
          <w:p>
            <w:r>
              <w:rPr>
                <w:rFonts w:ascii="Arial" w:hAnsi="Arial"/>
                <w:sz w:val="19"/>
              </w:rPr>
              <w:t>&lt;0.15</w:t>
            </w:r>
          </w:p>
        </w:tc>
        <w:tc>
          <w:tcPr>
            <w:tcW w:type="dxa" w:w="2484"/>
          </w:tcPr>
          <w:p>
            <w:r>
              <w:rPr>
                <w:rFonts w:ascii="Arial" w:hAnsi="Arial"/>
                <w:sz w:val="19"/>
              </w:rPr>
              <w:t>Very weak/no relationship</w:t>
            </w:r>
          </w:p>
        </w:tc>
      </w:tr>
    </w:tbl>
    <w:p/>
    <w:p>
      <w:pPr>
        <w:pStyle w:val="Heading2"/>
      </w:pPr>
      <w:r>
        <w:t>5.3 Key Finding</w:t>
      </w:r>
    </w:p>
    <w:p>
      <w:r>
        <w:rPr>
          <w:i/>
        </w:rPr>
        <w:t>"Rainfall is the dominant climate driver, primarily through dilution effects. The strong negative correlation with sulfate (r = -0.55) indicates that precipitation dilutes groundwater salts. SPI showed weak correlations with all groundwater parameters (r &lt; 0.15), suggesting that annual drought indices are not effective predictors at this temporal scale."</w:t>
      </w:r>
    </w:p>
    <w:p>
      <w:pPr>
        <w:pStyle w:val="Heading1"/>
      </w:pPr>
      <w:r>
        <w:t>6. SCATTER PLOT ANALYSIS</w:t>
      </w:r>
    </w:p>
    <w:p>
      <w:pPr>
        <w:pStyle w:val="Heading2"/>
      </w:pPr>
      <w:r>
        <w:t>6.1 Rainfall vs Groundwater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Arial" w:hAnsi="Arial"/>
                <w:b/>
                <w:sz w:val="19"/>
              </w:rPr>
              <w:t>**ParameterTrendInterpretation**</w:t>
            </w:r>
          </w:p>
        </w:tc>
        <w:tc>
          <w:tcPr>
            <w:tcW w:type="dxa" w:w="3312"/>
            <w:shd w:fill="D9EAF7"/>
          </w:tcPr>
          <w:p>
            <w:r>
              <w:rPr>
                <w:rFonts w:ascii="Arial" w:hAnsi="Arial"/>
                <w:b/>
                <w:sz w:val="19"/>
              </w:rPr>
            </w:r>
          </w:p>
        </w:tc>
        <w:tc>
          <w:tcPr>
            <w:tcW w:type="dxa" w:w="3312"/>
            <w:shd w:fill="D9EAF7"/>
          </w:tcPr>
          <w:p>
            <w:r>
              <w:rPr>
                <w:rFonts w:ascii="Arial" w:hAnsi="Arial"/>
                <w:b/>
                <w:sz w:val="19"/>
              </w:rPr>
            </w:r>
          </w:p>
        </w:tc>
      </w:tr>
      <w:tr>
        <w:tc>
          <w:tcPr>
            <w:tcW w:type="dxa" w:w="3312"/>
          </w:tcPr>
          <w:p>
            <w:r>
              <w:rPr>
                <w:rFonts w:ascii="Arial" w:hAnsi="Arial"/>
                <w:sz w:val="19"/>
              </w:rPr>
              <w:t>**EC vs Rainfall**</w:t>
            </w:r>
          </w:p>
        </w:tc>
        <w:tc>
          <w:tcPr>
            <w:tcW w:type="dxa" w:w="3312"/>
          </w:tcPr>
          <w:p>
            <w:r>
              <w:rPr>
                <w:rFonts w:ascii="Arial" w:hAnsi="Arial"/>
                <w:sz w:val="19"/>
              </w:rPr>
              <w:t>Negative slope</w:t>
            </w:r>
          </w:p>
        </w:tc>
        <w:tc>
          <w:tcPr>
            <w:tcW w:type="dxa" w:w="3312"/>
          </w:tcPr>
          <w:p>
            <w:r>
              <w:rPr>
                <w:rFonts w:ascii="Arial" w:hAnsi="Arial"/>
                <w:sz w:val="19"/>
              </w:rPr>
              <w:t>Higher rainfall = lower salinity (dilution)</w:t>
            </w:r>
          </w:p>
        </w:tc>
      </w:tr>
      <w:tr>
        <w:tc>
          <w:tcPr>
            <w:tcW w:type="dxa" w:w="3312"/>
          </w:tcPr>
          <w:p>
            <w:r>
              <w:rPr>
                <w:rFonts w:ascii="Arial" w:hAnsi="Arial"/>
                <w:sz w:val="19"/>
              </w:rPr>
              <w:t>**Nitrate vs Rainfall**</w:t>
            </w:r>
          </w:p>
        </w:tc>
        <w:tc>
          <w:tcPr>
            <w:tcW w:type="dxa" w:w="3312"/>
          </w:tcPr>
          <w:p>
            <w:r>
              <w:rPr>
                <w:rFonts w:ascii="Arial" w:hAnsi="Arial"/>
                <w:sz w:val="19"/>
              </w:rPr>
              <w:t>Negative slope</w:t>
            </w:r>
          </w:p>
        </w:tc>
        <w:tc>
          <w:tcPr>
            <w:tcW w:type="dxa" w:w="3312"/>
          </w:tcPr>
          <w:p>
            <w:r>
              <w:rPr>
                <w:rFonts w:ascii="Arial" w:hAnsi="Arial"/>
                <w:sz w:val="19"/>
              </w:rPr>
              <w:t>Higher rainfall = lower nitrate (dilution)</w:t>
            </w:r>
          </w:p>
        </w:tc>
      </w:tr>
      <w:tr>
        <w:tc>
          <w:tcPr>
            <w:tcW w:type="dxa" w:w="3312"/>
          </w:tcPr>
          <w:p>
            <w:r>
              <w:rPr>
                <w:rFonts w:ascii="Arial" w:hAnsi="Arial"/>
                <w:sz w:val="19"/>
              </w:rPr>
              <w:t>**Chloride vs Rainfall**</w:t>
            </w:r>
          </w:p>
        </w:tc>
        <w:tc>
          <w:tcPr>
            <w:tcW w:type="dxa" w:w="3312"/>
          </w:tcPr>
          <w:p>
            <w:r>
              <w:rPr>
                <w:rFonts w:ascii="Arial" w:hAnsi="Arial"/>
                <w:sz w:val="19"/>
              </w:rPr>
              <w:t>Negative slope</w:t>
            </w:r>
          </w:p>
        </w:tc>
        <w:tc>
          <w:tcPr>
            <w:tcW w:type="dxa" w:w="3312"/>
          </w:tcPr>
          <w:p>
            <w:r>
              <w:rPr>
                <w:rFonts w:ascii="Arial" w:hAnsi="Arial"/>
                <w:sz w:val="19"/>
              </w:rPr>
              <w:t>Higher rainfall = lower chloride (dilution)</w:t>
            </w:r>
          </w:p>
        </w:tc>
      </w:tr>
      <w:tr>
        <w:tc>
          <w:tcPr>
            <w:tcW w:type="dxa" w:w="3312"/>
          </w:tcPr>
          <w:p>
            <w:r>
              <w:rPr>
                <w:rFonts w:ascii="Arial" w:hAnsi="Arial"/>
                <w:sz w:val="19"/>
              </w:rPr>
              <w:t>**Sulfate vs Rainfall**</w:t>
            </w:r>
          </w:p>
        </w:tc>
        <w:tc>
          <w:tcPr>
            <w:tcW w:type="dxa" w:w="3312"/>
          </w:tcPr>
          <w:p>
            <w:r>
              <w:rPr>
                <w:rFonts w:ascii="Arial" w:hAnsi="Arial"/>
                <w:sz w:val="19"/>
              </w:rPr>
              <w:t>Negative slope (strongest)</w:t>
            </w:r>
          </w:p>
        </w:tc>
        <w:tc>
          <w:tcPr>
            <w:tcW w:type="dxa" w:w="3312"/>
          </w:tcPr>
          <w:p>
            <w:r>
              <w:rPr>
                <w:rFonts w:ascii="Arial" w:hAnsi="Arial"/>
                <w:sz w:val="19"/>
              </w:rPr>
              <w:t>Higher rainfall = much lower sulfate (dilution)</w:t>
            </w:r>
          </w:p>
        </w:tc>
      </w:tr>
    </w:tbl>
    <w:p/>
    <w:p>
      <w:pPr>
        <w:pStyle w:val="Heading2"/>
      </w:pPr>
      <w:r>
        <w:t>6.2 Temperature vs Groundwater</w:t>
      </w:r>
    </w:p>
    <w:p>
      <w:pPr>
        <w:pStyle w:val="ListBullet"/>
      </w:pPr>
      <w:r>
        <w:t>All parameters showed weak negative correlations with temperature</w:t>
      </w:r>
    </w:p>
    <w:p>
      <w:pPr>
        <w:pStyle w:val="ListBullet"/>
      </w:pPr>
      <w:r>
        <w:t>Higher temperatures generally associated with lower concentrations</w:t>
      </w:r>
    </w:p>
    <w:p>
      <w:pPr>
        <w:pStyle w:val="Heading2"/>
      </w:pPr>
      <w:r>
        <w:t>6.3 SPI vs Groundwater</w:t>
      </w:r>
    </w:p>
    <w:p>
      <w:pPr>
        <w:pStyle w:val="ListBullet"/>
      </w:pPr>
      <w:r>
        <w:t>All parameters showed very weak or no correlation with SPI</w:t>
      </w:r>
    </w:p>
    <w:p>
      <w:pPr>
        <w:pStyle w:val="ListBullet"/>
      </w:pPr>
      <w:r>
        <w:t>Red trend lines were nearly flat for all parameters</w:t>
      </w:r>
    </w:p>
    <w:p>
      <w:pPr>
        <w:pStyle w:val="ListBullet"/>
      </w:pPr>
      <w:r>
        <w:t>SPI appears to be a poor predictor at the annual scale</w:t>
      </w:r>
    </w:p>
    <w:p>
      <w:pPr>
        <w:pStyle w:val="Heading2"/>
      </w:pPr>
      <w:r>
        <w:t>6.4 Key Finding</w:t>
      </w:r>
    </w:p>
    <w:p>
      <w:r>
        <w:rPr>
          <w:i/>
        </w:rPr>
        <w:t>"Scatter plot analysis confirmed that rainfall is the most important climate variable controlling groundwater quality. The negative slopes across all parameters indicate dilution as the primary mechanism. SPI showed no clear relationship with any parameter, confirming its limited predictive value."</w:t>
      </w:r>
    </w:p>
    <w:p>
      <w:pPr>
        <w:pStyle w:val="Heading1"/>
      </w:pPr>
      <w:r>
        <w:t>7. VIOLIN PLOT ANALYSIS</w:t>
      </w:r>
    </w:p>
    <w:p>
      <w:r>
        <w:t>Violin plots, which combine boxplots and kernel density estimation, were used to visualize distribution shapes by city.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Arial" w:hAnsi="Arial"/>
                <w:b/>
                <w:sz w:val="19"/>
              </w:rPr>
              <w:t>**ParameterKey Observations**</w:t>
            </w:r>
          </w:p>
        </w:tc>
        <w:tc>
          <w:tcPr>
            <w:tcW w:type="dxa" w:w="4968"/>
            <w:shd w:fill="D9EAF7"/>
          </w:tcPr>
          <w:p>
            <w:r>
              <w:rPr>
                <w:rFonts w:ascii="Arial" w:hAnsi="Arial"/>
                <w:b/>
                <w:sz w:val="19"/>
              </w:rPr>
            </w:r>
          </w:p>
        </w:tc>
      </w:tr>
      <w:tr>
        <w:tc>
          <w:tcPr>
            <w:tcW w:type="dxa" w:w="4968"/>
          </w:tcPr>
          <w:p>
            <w:r>
              <w:rPr>
                <w:rFonts w:ascii="Arial" w:hAnsi="Arial"/>
                <w:sz w:val="19"/>
              </w:rPr>
              <w:t>**EC**</w:t>
            </w:r>
          </w:p>
        </w:tc>
        <w:tc>
          <w:tcPr>
            <w:tcW w:type="dxa" w:w="4968"/>
          </w:tcPr>
          <w:p>
            <w:r>
              <w:rPr>
                <w:rFonts w:ascii="Arial" w:hAnsi="Arial"/>
                <w:sz w:val="19"/>
              </w:rPr>
              <w:t>Stuttgart shows wide, multi-modal distribution; Cologne and Leipzig narrower</w:t>
            </w:r>
          </w:p>
        </w:tc>
      </w:tr>
      <w:tr>
        <w:tc>
          <w:tcPr>
            <w:tcW w:type="dxa" w:w="4968"/>
          </w:tcPr>
          <w:p>
            <w:r>
              <w:rPr>
                <w:rFonts w:ascii="Arial" w:hAnsi="Arial"/>
                <w:sz w:val="19"/>
              </w:rPr>
              <w:t>**Nitrate**</w:t>
            </w:r>
          </w:p>
        </w:tc>
        <w:tc>
          <w:tcPr>
            <w:tcW w:type="dxa" w:w="4968"/>
          </w:tcPr>
          <w:p>
            <w:r>
              <w:rPr>
                <w:rFonts w:ascii="Arial" w:hAnsi="Arial"/>
                <w:sz w:val="19"/>
              </w:rPr>
              <w:t>Leipzig shows long right tail; many high-value outliers</w:t>
            </w:r>
          </w:p>
        </w:tc>
      </w:tr>
      <w:tr>
        <w:tc>
          <w:tcPr>
            <w:tcW w:type="dxa" w:w="4968"/>
          </w:tcPr>
          <w:p>
            <w:r>
              <w:rPr>
                <w:rFonts w:ascii="Arial" w:hAnsi="Arial"/>
                <w:sz w:val="19"/>
              </w:rPr>
              <w:t>**Chloride**</w:t>
            </w:r>
          </w:p>
        </w:tc>
        <w:tc>
          <w:tcPr>
            <w:tcW w:type="dxa" w:w="4968"/>
          </w:tcPr>
          <w:p>
            <w:r>
              <w:rPr>
                <w:rFonts w:ascii="Arial" w:hAnsi="Arial"/>
                <w:sz w:val="19"/>
              </w:rPr>
              <w:t>Stuttgart shows wide distribution; Cologne extremely narrow</w:t>
            </w:r>
          </w:p>
        </w:tc>
      </w:tr>
      <w:tr>
        <w:tc>
          <w:tcPr>
            <w:tcW w:type="dxa" w:w="4968"/>
          </w:tcPr>
          <w:p>
            <w:r>
              <w:rPr>
                <w:rFonts w:ascii="Arial" w:hAnsi="Arial"/>
                <w:sz w:val="19"/>
              </w:rPr>
              <w:t>**Sulfate**</w:t>
            </w:r>
          </w:p>
        </w:tc>
        <w:tc>
          <w:tcPr>
            <w:tcW w:type="dxa" w:w="4968"/>
          </w:tcPr>
          <w:p>
            <w:r>
              <w:rPr>
                <w:rFonts w:ascii="Arial" w:hAnsi="Arial"/>
                <w:sz w:val="19"/>
              </w:rPr>
              <w:t>Stuttgart shows wide, high-value distribution; Cologne extremely narrow</w:t>
            </w:r>
          </w:p>
        </w:tc>
      </w:tr>
    </w:tbl>
    <w:p/>
    <w:p>
      <w:pPr>
        <w:pStyle w:val="Heading2"/>
      </w:pPr>
      <w:r>
        <w:t>Key Finding</w:t>
      </w:r>
    </w:p>
    <w:p>
      <w:r>
        <w:rPr>
          <w:i/>
        </w:rPr>
        <w:t>"Violin plots revealed that Stuttgart's distributions are wider and more complex across all parameters, indicating greater hydrochemical variability. Cologne's distributions are narrow and concentrated, reflecting consistent groundwater quality."</w:t>
      </w:r>
    </w:p>
    <w:p>
      <w:pPr>
        <w:pStyle w:val="Heading1"/>
      </w:pPr>
      <w:r>
        <w:t>8. SUMMARY OF KEY FINDINGS</w:t>
      </w:r>
    </w:p>
    <w:p>
      <w:pPr>
        <w:pStyle w:val="Heading2"/>
      </w:pPr>
      <w:r>
        <w:t>8.1 Major Findings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Arial" w:hAnsi="Arial"/>
                <w:b/>
                <w:sz w:val="19"/>
              </w:rPr>
              <w:t>**#FindingImplications**</w:t>
            </w:r>
          </w:p>
        </w:tc>
        <w:tc>
          <w:tcPr>
            <w:tcW w:type="dxa" w:w="3312"/>
            <w:shd w:fill="D9EAF7"/>
          </w:tcPr>
          <w:p>
            <w:r>
              <w:rPr>
                <w:rFonts w:ascii="Arial" w:hAnsi="Arial"/>
                <w:b/>
                <w:sz w:val="19"/>
              </w:rPr>
            </w:r>
          </w:p>
        </w:tc>
        <w:tc>
          <w:tcPr>
            <w:tcW w:type="dxa" w:w="3312"/>
            <w:shd w:fill="D9EAF7"/>
          </w:tcPr>
          <w:p>
            <w:r>
              <w:rPr>
                <w:rFonts w:ascii="Arial" w:hAnsi="Arial"/>
                <w:b/>
                <w:sz w:val="19"/>
              </w:rPr>
            </w:r>
          </w:p>
        </w:tc>
      </w:tr>
      <w:tr>
        <w:tc>
          <w:tcPr>
            <w:tcW w:type="dxa" w:w="3312"/>
          </w:tcPr>
          <w:p>
            <w:r>
              <w:rPr>
                <w:rFonts w:ascii="Arial" w:hAnsi="Arial"/>
                <w:sz w:val="19"/>
              </w:rPr>
              <w:t>1</w:t>
            </w:r>
          </w:p>
        </w:tc>
        <w:tc>
          <w:tcPr>
            <w:tcW w:type="dxa" w:w="3312"/>
          </w:tcPr>
          <w:p>
            <w:r>
              <w:rPr>
                <w:rFonts w:ascii="Arial" w:hAnsi="Arial"/>
                <w:sz w:val="19"/>
              </w:rPr>
              <w:t>**Stuttgart is hydrochemically distinct**</w:t>
            </w:r>
          </w:p>
        </w:tc>
        <w:tc>
          <w:tcPr>
            <w:tcW w:type="dxa" w:w="3312"/>
          </w:tcPr>
          <w:p>
            <w:r>
              <w:rPr>
                <w:rFonts w:ascii="Arial" w:hAnsi="Arial"/>
                <w:sz w:val="19"/>
              </w:rPr>
              <w:t>Highest EC, chloride, sulfate; most challenging for modeling</w:t>
            </w:r>
          </w:p>
        </w:tc>
      </w:tr>
      <w:tr>
        <w:tc>
          <w:tcPr>
            <w:tcW w:type="dxa" w:w="3312"/>
          </w:tcPr>
          <w:p>
            <w:r>
              <w:rPr>
                <w:rFonts w:ascii="Arial" w:hAnsi="Arial"/>
                <w:sz w:val="19"/>
              </w:rPr>
              <w:t>2</w:t>
            </w:r>
          </w:p>
        </w:tc>
        <w:tc>
          <w:tcPr>
            <w:tcW w:type="dxa" w:w="3312"/>
          </w:tcPr>
          <w:p>
            <w:r>
              <w:rPr>
                <w:rFonts w:ascii="Arial" w:hAnsi="Arial"/>
                <w:sz w:val="19"/>
              </w:rPr>
              <w:t>**Leipzig has elevated nitrate**</w:t>
            </w:r>
          </w:p>
        </w:tc>
        <w:tc>
          <w:tcPr>
            <w:tcW w:type="dxa" w:w="3312"/>
          </w:tcPr>
          <w:p>
            <w:r>
              <w:rPr>
                <w:rFonts w:ascii="Arial" w:hAnsi="Arial"/>
                <w:sz w:val="19"/>
              </w:rPr>
              <w:t>Agricultural influence; decreasing trend observed</w:t>
            </w:r>
          </w:p>
        </w:tc>
      </w:tr>
      <w:tr>
        <w:tc>
          <w:tcPr>
            <w:tcW w:type="dxa" w:w="3312"/>
          </w:tcPr>
          <w:p>
            <w:r>
              <w:rPr>
                <w:rFonts w:ascii="Arial" w:hAnsi="Arial"/>
                <w:sz w:val="19"/>
              </w:rPr>
              <w:t>3</w:t>
            </w:r>
          </w:p>
        </w:tc>
        <w:tc>
          <w:tcPr>
            <w:tcW w:type="dxa" w:w="3312"/>
          </w:tcPr>
          <w:p>
            <w:r>
              <w:rPr>
                <w:rFonts w:ascii="Arial" w:hAnsi="Arial"/>
                <w:sz w:val="19"/>
              </w:rPr>
              <w:t>**Cologne is the cleanest city**</w:t>
            </w:r>
          </w:p>
        </w:tc>
        <w:tc>
          <w:tcPr>
            <w:tcW w:type="dxa" w:w="3312"/>
          </w:tcPr>
          <w:p>
            <w:r>
              <w:rPr>
                <w:rFonts w:ascii="Arial" w:hAnsi="Arial"/>
                <w:sz w:val="19"/>
              </w:rPr>
              <w:t>Consistent, low concentrations; good baseline</w:t>
            </w:r>
          </w:p>
        </w:tc>
      </w:tr>
      <w:tr>
        <w:tc>
          <w:tcPr>
            <w:tcW w:type="dxa" w:w="3312"/>
          </w:tcPr>
          <w:p>
            <w:r>
              <w:rPr>
                <w:rFonts w:ascii="Arial" w:hAnsi="Arial"/>
                <w:sz w:val="19"/>
              </w:rPr>
              <w:t>4</w:t>
            </w:r>
          </w:p>
        </w:tc>
        <w:tc>
          <w:tcPr>
            <w:tcW w:type="dxa" w:w="3312"/>
          </w:tcPr>
          <w:p>
            <w:r>
              <w:rPr>
                <w:rFonts w:ascii="Arial" w:hAnsi="Arial"/>
                <w:sz w:val="19"/>
              </w:rPr>
              <w:t>**Rainfall drives dilution**</w:t>
            </w:r>
          </w:p>
        </w:tc>
        <w:tc>
          <w:tcPr>
            <w:tcW w:type="dxa" w:w="3312"/>
          </w:tcPr>
          <w:p>
            <w:r>
              <w:rPr>
                <w:rFonts w:ascii="Arial" w:hAnsi="Arial"/>
                <w:sz w:val="19"/>
              </w:rPr>
              <w:t>Strongest climate effect; primarily on sulfate</w:t>
            </w:r>
          </w:p>
        </w:tc>
      </w:tr>
      <w:tr>
        <w:tc>
          <w:tcPr>
            <w:tcW w:type="dxa" w:w="3312"/>
          </w:tcPr>
          <w:p>
            <w:r>
              <w:rPr>
                <w:rFonts w:ascii="Arial" w:hAnsi="Arial"/>
                <w:sz w:val="19"/>
              </w:rPr>
              <w:t>5</w:t>
            </w:r>
          </w:p>
        </w:tc>
        <w:tc>
          <w:tcPr>
            <w:tcW w:type="dxa" w:w="3312"/>
          </w:tcPr>
          <w:p>
            <w:r>
              <w:rPr>
                <w:rFonts w:ascii="Arial" w:hAnsi="Arial"/>
                <w:sz w:val="19"/>
              </w:rPr>
              <w:t>**SPI is a weak predictor**</w:t>
            </w:r>
          </w:p>
        </w:tc>
        <w:tc>
          <w:tcPr>
            <w:tcW w:type="dxa" w:w="3312"/>
          </w:tcPr>
          <w:p>
            <w:r>
              <w:rPr>
                <w:rFonts w:ascii="Arial" w:hAnsi="Arial"/>
                <w:sz w:val="19"/>
              </w:rPr>
              <w:t>All correlations &lt;0.15; can be deprioritized</w:t>
            </w:r>
          </w:p>
        </w:tc>
      </w:tr>
      <w:tr>
        <w:tc>
          <w:tcPr>
            <w:tcW w:type="dxa" w:w="3312"/>
          </w:tcPr>
          <w:p>
            <w:r>
              <w:rPr>
                <w:rFonts w:ascii="Arial" w:hAnsi="Arial"/>
                <w:sz w:val="19"/>
              </w:rPr>
              <w:t>6</w:t>
            </w:r>
          </w:p>
        </w:tc>
        <w:tc>
          <w:tcPr>
            <w:tcW w:type="dxa" w:w="3312"/>
          </w:tcPr>
          <w:p>
            <w:r>
              <w:rPr>
                <w:rFonts w:ascii="Arial" w:hAnsi="Arial"/>
                <w:sz w:val="19"/>
              </w:rPr>
              <w:t>**EC reflects salinity**</w:t>
            </w:r>
          </w:p>
        </w:tc>
        <w:tc>
          <w:tcPr>
            <w:tcW w:type="dxa" w:w="3312"/>
          </w:tcPr>
          <w:p>
            <w:r>
              <w:rPr>
                <w:rFonts w:ascii="Arial" w:hAnsi="Arial"/>
                <w:sz w:val="19"/>
              </w:rPr>
              <w:t>Strong correlations with sulfate and chloride</w:t>
            </w:r>
          </w:p>
        </w:tc>
      </w:tr>
      <w:tr>
        <w:tc>
          <w:tcPr>
            <w:tcW w:type="dxa" w:w="3312"/>
          </w:tcPr>
          <w:p>
            <w:r>
              <w:rPr>
                <w:rFonts w:ascii="Arial" w:hAnsi="Arial"/>
                <w:sz w:val="19"/>
              </w:rPr>
              <w:t>7</w:t>
            </w:r>
          </w:p>
        </w:tc>
        <w:tc>
          <w:tcPr>
            <w:tcW w:type="dxa" w:w="3312"/>
          </w:tcPr>
          <w:p>
            <w:r>
              <w:rPr>
                <w:rFonts w:ascii="Arial" w:hAnsi="Arial"/>
                <w:sz w:val="19"/>
              </w:rPr>
              <w:t>**Stuttgart improving**</w:t>
            </w:r>
          </w:p>
        </w:tc>
        <w:tc>
          <w:tcPr>
            <w:tcW w:type="dxa" w:w="3312"/>
          </w:tcPr>
          <w:p>
            <w:r>
              <w:rPr>
                <w:rFonts w:ascii="Arial" w:hAnsi="Arial"/>
                <w:sz w:val="19"/>
              </w:rPr>
              <w:t>Decreasing EC, chloride, sulfate trends (2016-2024)</w:t>
            </w:r>
          </w:p>
        </w:tc>
      </w:tr>
      <w:tr>
        <w:tc>
          <w:tcPr>
            <w:tcW w:type="dxa" w:w="3312"/>
          </w:tcPr>
          <w:p>
            <w:r>
              <w:rPr>
                <w:rFonts w:ascii="Arial" w:hAnsi="Arial"/>
                <w:sz w:val="19"/>
              </w:rPr>
              <w:t>8</w:t>
            </w:r>
          </w:p>
        </w:tc>
        <w:tc>
          <w:tcPr>
            <w:tcW w:type="dxa" w:w="3312"/>
          </w:tcPr>
          <w:p>
            <w:r>
              <w:rPr>
                <w:rFonts w:ascii="Arial" w:hAnsi="Arial"/>
                <w:sz w:val="19"/>
              </w:rPr>
              <w:t>**Leipzig nitrate decreasing**</w:t>
            </w:r>
          </w:p>
        </w:tc>
        <w:tc>
          <w:tcPr>
            <w:tcW w:type="dxa" w:w="3312"/>
          </w:tcPr>
          <w:p>
            <w:r>
              <w:rPr>
                <w:rFonts w:ascii="Arial" w:hAnsi="Arial"/>
                <w:sz w:val="19"/>
              </w:rPr>
              <w:t>Possible agricultural management improvements</w:t>
            </w:r>
          </w:p>
        </w:tc>
      </w:tr>
    </w:tbl>
    <w:p/>
    <w:p>
      <w:pPr>
        <w:pStyle w:val="Heading2"/>
      </w:pPr>
      <w:r>
        <w:t>8.2 Findings for Modeling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Arial" w:hAnsi="Arial"/>
                <w:b/>
                <w:sz w:val="19"/>
              </w:rPr>
              <w:t>**FindingModeling Implication**</w:t>
            </w:r>
          </w:p>
        </w:tc>
        <w:tc>
          <w:tcPr>
            <w:tcW w:type="dxa" w:w="4968"/>
            <w:shd w:fill="D9EAF7"/>
          </w:tcPr>
          <w:p>
            <w:r>
              <w:rPr>
                <w:rFonts w:ascii="Arial" w:hAnsi="Arial"/>
                <w:b/>
                <w:sz w:val="19"/>
              </w:rPr>
            </w:r>
          </w:p>
        </w:tc>
      </w:tr>
      <w:tr>
        <w:tc>
          <w:tcPr>
            <w:tcW w:type="dxa" w:w="4968"/>
          </w:tcPr>
          <w:p>
            <w:r>
              <w:rPr>
                <w:rFonts w:ascii="Arial" w:hAnsi="Arial"/>
                <w:sz w:val="19"/>
              </w:rPr>
              <w:t>City-specific differences</w:t>
            </w:r>
          </w:p>
        </w:tc>
        <w:tc>
          <w:tcPr>
            <w:tcW w:type="dxa" w:w="4968"/>
          </w:tcPr>
          <w:p>
            <w:r>
              <w:rPr>
                <w:rFonts w:ascii="Arial" w:hAnsi="Arial"/>
                <w:sz w:val="19"/>
              </w:rPr>
              <w:t>Global model may not capture local variability; regime-based modeling recommended</w:t>
            </w:r>
          </w:p>
        </w:tc>
      </w:tr>
      <w:tr>
        <w:tc>
          <w:tcPr>
            <w:tcW w:type="dxa" w:w="4968"/>
          </w:tcPr>
          <w:p>
            <w:r>
              <w:rPr>
                <w:rFonts w:ascii="Arial" w:hAnsi="Arial"/>
                <w:sz w:val="19"/>
              </w:rPr>
              <w:t>Stuttgart has extreme values</w:t>
            </w:r>
          </w:p>
        </w:tc>
        <w:tc>
          <w:tcPr>
            <w:tcW w:type="dxa" w:w="4968"/>
          </w:tcPr>
          <w:p>
            <w:r>
              <w:rPr>
                <w:rFonts w:ascii="Arial" w:hAnsi="Arial"/>
                <w:sz w:val="19"/>
              </w:rPr>
              <w:t>Predictions for Stuttgart may have larger uncertainty</w:t>
            </w:r>
          </w:p>
        </w:tc>
      </w:tr>
      <w:tr>
        <w:tc>
          <w:tcPr>
            <w:tcW w:type="dxa" w:w="4968"/>
          </w:tcPr>
          <w:p>
            <w:r>
              <w:rPr>
                <w:rFonts w:ascii="Arial" w:hAnsi="Arial"/>
                <w:sz w:val="19"/>
              </w:rPr>
              <w:t>SPI has weak correlations</w:t>
            </w:r>
          </w:p>
        </w:tc>
        <w:tc>
          <w:tcPr>
            <w:tcW w:type="dxa" w:w="4968"/>
          </w:tcPr>
          <w:p>
            <w:r>
              <w:rPr>
                <w:rFonts w:ascii="Arial" w:hAnsi="Arial"/>
                <w:sz w:val="19"/>
              </w:rPr>
              <w:t>Rainfall is the primary climate predictor; consider excluding SPI</w:t>
            </w:r>
          </w:p>
        </w:tc>
      </w:tr>
      <w:tr>
        <w:tc>
          <w:tcPr>
            <w:tcW w:type="dxa" w:w="4968"/>
          </w:tcPr>
          <w:p>
            <w:r>
              <w:rPr>
                <w:rFonts w:ascii="Arial" w:hAnsi="Arial"/>
                <w:sz w:val="19"/>
              </w:rPr>
              <w:t>Decreasing trends</w:t>
            </w:r>
          </w:p>
        </w:tc>
        <w:tc>
          <w:tcPr>
            <w:tcW w:type="dxa" w:w="4968"/>
          </w:tcPr>
          <w:p>
            <w:r>
              <w:rPr>
                <w:rFonts w:ascii="Arial" w:hAnsi="Arial"/>
                <w:sz w:val="19"/>
              </w:rPr>
              <w:t>Models should account for temporal non-stationarity</w:t>
            </w:r>
          </w:p>
        </w:tc>
      </w:tr>
      <w:tr>
        <w:tc>
          <w:tcPr>
            <w:tcW w:type="dxa" w:w="4968"/>
          </w:tcPr>
          <w:p>
            <w:r>
              <w:rPr>
                <w:rFonts w:ascii="Arial" w:hAnsi="Arial"/>
                <w:sz w:val="19"/>
              </w:rPr>
              <w:t>EC strongly linked to sulfate and chloride</w:t>
            </w:r>
          </w:p>
        </w:tc>
        <w:tc>
          <w:tcPr>
            <w:tcW w:type="dxa" w:w="4968"/>
          </w:tcPr>
          <w:p>
            <w:r>
              <w:rPr>
                <w:rFonts w:ascii="Arial" w:hAnsi="Arial"/>
                <w:sz w:val="19"/>
              </w:rPr>
              <w:t>EC can be used as an indicator of overall salinity</w:t>
            </w:r>
          </w:p>
        </w:tc>
      </w:tr>
    </w:tbl>
    <w:p/>
    <w:p>
      <w:pPr>
        <w:pStyle w:val="Heading1"/>
      </w:pPr>
      <w:r>
        <w:t>9. COMPARISON WITH LITERATURE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Arial" w:hAnsi="Arial"/>
                <w:b/>
                <w:sz w:val="19"/>
              </w:rPr>
              <w:t>**Our FindingSupporting Literature**</w:t>
            </w:r>
          </w:p>
        </w:tc>
        <w:tc>
          <w:tcPr>
            <w:tcW w:type="dxa" w:w="4968"/>
            <w:shd w:fill="D9EAF7"/>
          </w:tcPr>
          <w:p>
            <w:r>
              <w:rPr>
                <w:rFonts w:ascii="Arial" w:hAnsi="Arial"/>
                <w:b/>
                <w:sz w:val="19"/>
              </w:rPr>
            </w:r>
          </w:p>
        </w:tc>
      </w:tr>
      <w:tr>
        <w:tc>
          <w:tcPr>
            <w:tcW w:type="dxa" w:w="4968"/>
          </w:tcPr>
          <w:p>
            <w:r>
              <w:rPr>
                <w:rFonts w:ascii="Arial" w:hAnsi="Arial"/>
                <w:sz w:val="19"/>
              </w:rPr>
              <w:t>Rainfall dilution of groundwater salts</w:t>
            </w:r>
          </w:p>
        </w:tc>
        <w:tc>
          <w:tcPr>
            <w:tcW w:type="dxa" w:w="4968"/>
          </w:tcPr>
          <w:p>
            <w:r>
              <w:rPr>
                <w:rFonts w:ascii="Arial" w:hAnsi="Arial"/>
                <w:sz w:val="19"/>
              </w:rPr>
              <w:t>Consistent with studies in temperate regions (r = -0.3 to -0.6) (Todd &amp; Mays, 2005)</w:t>
            </w:r>
          </w:p>
        </w:tc>
      </w:tr>
      <w:tr>
        <w:tc>
          <w:tcPr>
            <w:tcW w:type="dxa" w:w="4968"/>
          </w:tcPr>
          <w:p>
            <w:r>
              <w:rPr>
                <w:rFonts w:ascii="Arial" w:hAnsi="Arial"/>
                <w:sz w:val="19"/>
              </w:rPr>
              <w:t>Urban groundwater influenced by local geology</w:t>
            </w:r>
          </w:p>
        </w:tc>
        <w:tc>
          <w:tcPr>
            <w:tcW w:type="dxa" w:w="4968"/>
          </w:tcPr>
          <w:p>
            <w:r>
              <w:rPr>
                <w:rFonts w:ascii="Arial" w:hAnsi="Arial"/>
                <w:sz w:val="19"/>
              </w:rPr>
              <w:t>Confirmed by numerous studies on urban hydrogeology (Foster et al., 2011)</w:t>
            </w:r>
          </w:p>
        </w:tc>
      </w:tr>
      <w:tr>
        <w:tc>
          <w:tcPr>
            <w:tcW w:type="dxa" w:w="4968"/>
          </w:tcPr>
          <w:p>
            <w:r>
              <w:rPr>
                <w:rFonts w:ascii="Arial" w:hAnsi="Arial"/>
                <w:sz w:val="19"/>
              </w:rPr>
              <w:t>Nitrate in agricultural areas</w:t>
            </w:r>
          </w:p>
        </w:tc>
        <w:tc>
          <w:tcPr>
            <w:tcW w:type="dxa" w:w="4968"/>
          </w:tcPr>
          <w:p>
            <w:r>
              <w:rPr>
                <w:rFonts w:ascii="Arial" w:hAnsi="Arial"/>
                <w:sz w:val="19"/>
              </w:rPr>
              <w:t>Leipzig results consistent with agricultural impacts (Böhlke, 2002)</w:t>
            </w:r>
          </w:p>
        </w:tc>
      </w:tr>
      <w:tr>
        <w:tc>
          <w:tcPr>
            <w:tcW w:type="dxa" w:w="4968"/>
          </w:tcPr>
          <w:p>
            <w:r>
              <w:rPr>
                <w:rFonts w:ascii="Arial" w:hAnsi="Arial"/>
                <w:sz w:val="19"/>
              </w:rPr>
              <w:t>EC as a salinity indicator</w:t>
            </w:r>
          </w:p>
        </w:tc>
        <w:tc>
          <w:tcPr>
            <w:tcW w:type="dxa" w:w="4968"/>
          </w:tcPr>
          <w:p>
            <w:r>
              <w:rPr>
                <w:rFonts w:ascii="Arial" w:hAnsi="Arial"/>
                <w:sz w:val="19"/>
              </w:rPr>
              <w:t>Well-established relationship (Hem, 1985)</w:t>
            </w:r>
          </w:p>
        </w:tc>
      </w:tr>
      <w:tr>
        <w:tc>
          <w:tcPr>
            <w:tcW w:type="dxa" w:w="4968"/>
          </w:tcPr>
          <w:p>
            <w:r>
              <w:rPr>
                <w:rFonts w:ascii="Arial" w:hAnsi="Arial"/>
                <w:sz w:val="19"/>
              </w:rPr>
              <w:t>SPI weak predictor for annual groundwater</w:t>
            </w:r>
          </w:p>
        </w:tc>
        <w:tc>
          <w:tcPr>
            <w:tcW w:type="dxa" w:w="4968"/>
          </w:tcPr>
          <w:p>
            <w:r>
              <w:rPr>
                <w:rFonts w:ascii="Arial" w:hAnsi="Arial"/>
                <w:sz w:val="19"/>
              </w:rPr>
              <w:t>Consistent with findings that SPI is more effective at seasonal scales (McKee et al., 1993)</w:t>
            </w:r>
          </w:p>
        </w:tc>
      </w:tr>
    </w:tbl>
    <w:p/>
    <w:p>
      <w:pPr>
        <w:pStyle w:val="Heading1"/>
      </w:pPr>
      <w:r>
        <w:t>10. RECOMMENDATIONS FOR MODELING</w:t>
      </w:r>
    </w:p>
    <w:p>
      <w:r>
        <w:t>Based on EDA findings, the following recommendations are made for Phase 4 (Modeling):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Arial" w:hAnsi="Arial"/>
                <w:b/>
                <w:sz w:val="19"/>
              </w:rPr>
              <w:t>**RecommendationRationale**</w:t>
            </w:r>
          </w:p>
        </w:tc>
        <w:tc>
          <w:tcPr>
            <w:tcW w:type="dxa" w:w="4968"/>
            <w:shd w:fill="D9EAF7"/>
          </w:tcPr>
          <w:p>
            <w:r>
              <w:rPr>
                <w:rFonts w:ascii="Arial" w:hAnsi="Arial"/>
                <w:b/>
                <w:sz w:val="19"/>
              </w:rPr>
            </w:r>
          </w:p>
        </w:tc>
      </w:tr>
      <w:tr>
        <w:tc>
          <w:tcPr>
            <w:tcW w:type="dxa" w:w="4968"/>
          </w:tcPr>
          <w:p>
            <w:r>
              <w:rPr>
                <w:rFonts w:ascii="Arial" w:hAnsi="Arial"/>
                <w:sz w:val="19"/>
              </w:rPr>
              <w:t>**Use rainfall as primary climate predictor**</w:t>
            </w:r>
          </w:p>
        </w:tc>
        <w:tc>
          <w:tcPr>
            <w:tcW w:type="dxa" w:w="4968"/>
          </w:tcPr>
          <w:p>
            <w:r>
              <w:rPr>
                <w:rFonts w:ascii="Arial" w:hAnsi="Arial"/>
                <w:sz w:val="19"/>
              </w:rPr>
              <w:t>Strongest correlations with groundwater parameters</w:t>
            </w:r>
          </w:p>
        </w:tc>
      </w:tr>
      <w:tr>
        <w:tc>
          <w:tcPr>
            <w:tcW w:type="dxa" w:w="4968"/>
          </w:tcPr>
          <w:p>
            <w:r>
              <w:rPr>
                <w:rFonts w:ascii="Arial" w:hAnsi="Arial"/>
                <w:sz w:val="19"/>
              </w:rPr>
              <w:t>**Consider excluding SPI**</w:t>
            </w:r>
          </w:p>
        </w:tc>
        <w:tc>
          <w:tcPr>
            <w:tcW w:type="dxa" w:w="4968"/>
          </w:tcPr>
          <w:p>
            <w:r>
              <w:rPr>
                <w:rFonts w:ascii="Arial" w:hAnsi="Arial"/>
                <w:sz w:val="19"/>
              </w:rPr>
              <w:t>Very weak correlations; may not add value</w:t>
            </w:r>
          </w:p>
        </w:tc>
      </w:tr>
      <w:tr>
        <w:tc>
          <w:tcPr>
            <w:tcW w:type="dxa" w:w="4968"/>
          </w:tcPr>
          <w:p>
            <w:r>
              <w:rPr>
                <w:rFonts w:ascii="Arial" w:hAnsi="Arial"/>
                <w:sz w:val="19"/>
              </w:rPr>
              <w:t>**Train separate models by city or regime**</w:t>
            </w:r>
          </w:p>
        </w:tc>
        <w:tc>
          <w:tcPr>
            <w:tcW w:type="dxa" w:w="4968"/>
          </w:tcPr>
          <w:p>
            <w:r>
              <w:rPr>
                <w:rFonts w:ascii="Arial" w:hAnsi="Arial"/>
                <w:sz w:val="19"/>
              </w:rPr>
              <w:t>City-specific hydrochemical signatures</w:t>
            </w:r>
          </w:p>
        </w:tc>
      </w:tr>
      <w:tr>
        <w:tc>
          <w:tcPr>
            <w:tcW w:type="dxa" w:w="4968"/>
          </w:tcPr>
          <w:p>
            <w:r>
              <w:rPr>
                <w:rFonts w:ascii="Arial" w:hAnsi="Arial"/>
                <w:sz w:val="19"/>
              </w:rPr>
              <w:t>**Report predictions with uncertainty for Stuttgart**</w:t>
            </w:r>
          </w:p>
        </w:tc>
        <w:tc>
          <w:tcPr>
            <w:tcW w:type="dxa" w:w="4968"/>
          </w:tcPr>
          <w:p>
            <w:r>
              <w:rPr>
                <w:rFonts w:ascii="Arial" w:hAnsi="Arial"/>
                <w:sz w:val="19"/>
              </w:rPr>
              <w:t>High variability and extreme values</w:t>
            </w:r>
          </w:p>
        </w:tc>
      </w:tr>
      <w:tr>
        <w:tc>
          <w:tcPr>
            <w:tcW w:type="dxa" w:w="4968"/>
          </w:tcPr>
          <w:p>
            <w:r>
              <w:rPr>
                <w:rFonts w:ascii="Arial" w:hAnsi="Arial"/>
                <w:sz w:val="19"/>
              </w:rPr>
              <w:t>**Log-transform nitrate and EC (if needed)**</w:t>
            </w:r>
          </w:p>
        </w:tc>
        <w:tc>
          <w:tcPr>
            <w:tcW w:type="dxa" w:w="4968"/>
          </w:tcPr>
          <w:p>
            <w:r>
              <w:rPr>
                <w:rFonts w:ascii="Arial" w:hAnsi="Arial"/>
                <w:sz w:val="19"/>
              </w:rPr>
              <w:t>Right-skewed distributions may benefit from transformation</w:t>
            </w:r>
          </w:p>
        </w:tc>
      </w:tr>
      <w:tr>
        <w:tc>
          <w:tcPr>
            <w:tcW w:type="dxa" w:w="4968"/>
          </w:tcPr>
          <w:p>
            <w:r>
              <w:rPr>
                <w:rFonts w:ascii="Arial" w:hAnsi="Arial"/>
                <w:sz w:val="19"/>
              </w:rPr>
              <w:t>**Account for temporal trends**</w:t>
            </w:r>
          </w:p>
        </w:tc>
        <w:tc>
          <w:tcPr>
            <w:tcW w:type="dxa" w:w="4968"/>
          </w:tcPr>
          <w:p>
            <w:r>
              <w:rPr>
                <w:rFonts w:ascii="Arial" w:hAnsi="Arial"/>
                <w:sz w:val="19"/>
              </w:rPr>
              <w:t>Non-stationarity observed in Stuttgart and Leipzig</w:t>
            </w:r>
          </w:p>
        </w:tc>
      </w:tr>
    </w:tbl>
    <w:p/>
    <w:p>
      <w:pPr>
        <w:pStyle w:val="Heading1"/>
      </w:pPr>
      <w:r>
        <w:t>11. CONCLUSION</w:t>
      </w:r>
    </w:p>
    <w:p>
      <w:r>
        <w:t>The Exploratory Data Analysis revealed several important findings for the groundwater quality forecasting project:</w:t>
      </w:r>
    </w:p>
    <w:p>
      <w:r>
        <w:t>1. City-specific hydrochemical signatures — Each city has a distinct groundwater chemistry profile, supporting the need for regime-based modeling.</w:t>
      </w:r>
    </w:p>
    <w:p>
      <w:r>
        <w:t>2. Rainfall is the dominant climate driver — Dilution effects, particularly on sulfate (r = -0.55), confirm rainfall as the most important climate predictor.</w:t>
      </w:r>
    </w:p>
    <w:p>
      <w:r>
        <w:t>3. SPI has limited predictive value — Annual SPI showed very weak correlations with all groundwater parameters, suggesting it may not be useful for prediction.</w:t>
      </w:r>
    </w:p>
    <w:p>
      <w:r>
        <w:t>4. Stuttgart is the most challenging city — Highest variability and extreme values will require careful modeling and uncertainty reporting.</w:t>
      </w:r>
    </w:p>
    <w:p>
      <w:r>
        <w:t>5. Temporal trends indicate improvement — Stuttgart and Leipzig show decreasing trends, suggesting improvements in water quality.</w:t>
      </w:r>
    </w:p>
    <w:p>
      <w:r>
        <w:t>6. EC reflects overall salinity — Strong correlations with sulfate (0.77) and chloride (0.70) confirm EC as a proxy for overall water quality.</w:t>
      </w:r>
    </w:p>
    <w:p>
      <w:r>
        <w:t>These findings will guide the modeling strategy, including the decision to use rainfall as the primary predictor, consider city- or regime-specific models, and report uncertainty for predictions.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