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PHASE 7: GLOBAL ML MODELS</w:t>
      </w:r>
    </w:p>
    <w:p>
      <w:pPr>
        <w:spacing w:after="300"/>
        <w:jc w:val="center"/>
      </w:pPr>
      <w:r>
        <w:rPr>
          <w:i/>
          <w:iCs/>
          <w:color w:val="555555"/>
          <w:sz w:val="24"/>
          <w:szCs w:val="24"/>
        </w:rPr>
        <w:t xml:space="preserve">Complete Writeup for Research Paper</w:t>
      </w:r>
    </w:p>
    <w:p>
      <w:pPr>
        <w:pBdr>
          <w:bottom w:val="single" w:color="999999" w:sz="6" w:space="1"/>
        </w:pBdr>
        <w:spacing w:after="200"/>
      </w:pPr>
    </w:p>
    <w:p>
      <w:pPr>
        <w:pStyle w:val="Heading1"/>
        <w:spacing w:after="160" w:before="320"/>
      </w:pPr>
      <w:r>
        <w:rPr>
          <w:b/>
          <w:bCs/>
          <w:color w:val="1F4E79"/>
          <w:sz w:val="30"/>
          <w:szCs w:val="30"/>
        </w:rPr>
        <w:t xml:space="preserve">Global Machine Learning Models</w:t>
      </w:r>
    </w:p>
    <w:p>
      <w:pPr>
        <w:pStyle w:val="Heading2"/>
        <w:spacing w:after="120" w:before="260"/>
      </w:pPr>
      <w:r>
        <w:rPr>
          <w:b/>
          <w:bCs/>
          <w:color w:val="1F4E79"/>
          <w:sz w:val="26"/>
          <w:szCs w:val="26"/>
        </w:rPr>
        <w:t xml:space="preserve">1. Purpose of Global ML Models</w:t>
      </w:r>
    </w:p>
    <w:p>
      <w:pPr>
        <w:spacing w:after="160"/>
      </w:pPr>
      <w:r>
        <w:rPr>
          <w:sz w:val="22"/>
          <w:szCs w:val="22"/>
        </w:rPr>
        <w:t xml:space="preserve">After establishing baseline performance benchmarks (Phase 5) and identifying distinct groundwater regimes (Phase 6), the next step was to develop global machine learning models that predict groundwater quality parameters from climate variables. The term “global” refers to models trained on all available data from all three cities combined, without distinguishing between different groundwater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6460"/>
            <w:shd w:fill="1F4E79" w:color="auto" w:val="clear"/>
            <w:tcMar>
              <w:top w:type="dxa" w:w="80"/>
              <w:left w:type="dxa" w:w="100"/>
              <w:bottom w:type="dxa" w:w="80"/>
              <w:right w:type="dxa" w:w="100"/>
            </w:tcMar>
            <w:vAlign w:val="center"/>
          </w:tcPr>
          <w:p>
            <w:pPr>
              <w:jc w:val="left"/>
            </w:pPr>
            <w:r>
              <w:rPr>
                <w:b/>
                <w:bCs/>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Capture non-linear relationships</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Machine learning models can capture complex, non-linear relationships that linear models cannot</w:t>
            </w:r>
          </w:p>
        </w:tc>
      </w:tr>
      <w:tr>
        <w:tc>
          <w:tcPr>
            <w:tcW w:type="dxa" w:w="2900"/>
            <w:shd w:fill="DCE6F1" w:color="auto" w:val="clear"/>
            <w:tcMar>
              <w:top w:type="dxa" w:w="70"/>
              <w:left w:type="dxa" w:w="100"/>
              <w:bottom w:type="dxa" w:w="70"/>
              <w:right w:type="dxa" w:w="100"/>
            </w:tcMar>
            <w:vAlign w:val="center"/>
          </w:tcPr>
          <w:p>
            <w:pPr>
              <w:jc w:val="left"/>
            </w:pPr>
            <w:r>
              <w:rPr>
                <w:b/>
                <w:bCs/>
                <w:color w:val="000000"/>
                <w:sz w:val="20"/>
                <w:szCs w:val="20"/>
              </w:rPr>
              <w:t xml:space="preserve">Establish ML performance</w:t>
            </w:r>
          </w:p>
        </w:tc>
        <w:tc>
          <w:tcPr>
            <w:tcW w:type="dxa" w:w="64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Determine if ML models outperform simple baselines</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Provide baseline for local models</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Global models serve as a reference for comparing regime-specific models</w:t>
            </w:r>
          </w:p>
        </w:tc>
      </w:tr>
      <w:tr>
        <w:tc>
          <w:tcPr>
            <w:tcW w:type="dxa" w:w="2900"/>
            <w:shd w:fill="DCE6F1" w:color="auto" w:val="clear"/>
            <w:tcMar>
              <w:top w:type="dxa" w:w="70"/>
              <w:left w:type="dxa" w:w="100"/>
              <w:bottom w:type="dxa" w:w="70"/>
              <w:right w:type="dxa" w:w="100"/>
            </w:tcMar>
            <w:vAlign w:val="center"/>
          </w:tcPr>
          <w:p>
            <w:pPr>
              <w:jc w:val="left"/>
            </w:pPr>
            <w:r>
              <w:rPr>
                <w:b/>
                <w:bCs/>
                <w:color w:val="000000"/>
                <w:sz w:val="20"/>
                <w:szCs w:val="20"/>
              </w:rPr>
              <w:t xml:space="preserve">Generate feature importance</w:t>
            </w:r>
          </w:p>
        </w:tc>
        <w:tc>
          <w:tcPr>
            <w:tcW w:type="dxa" w:w="64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Identify which climate variables most influence each parameter</w:t>
            </w:r>
          </w:p>
        </w:tc>
      </w:tr>
    </w:tbl>
    <w:p>
      <w:pPr>
        <w:spacing w:after="120"/>
      </w:pPr>
    </w:p>
    <w:p>
      <w:pPr>
        <w:pStyle w:val="Heading2"/>
        <w:spacing w:after="120" w:before="260"/>
      </w:pPr>
      <w:r>
        <w:rPr>
          <w:b/>
          <w:bCs/>
          <w:color w:val="1F4E79"/>
          <w:sz w:val="26"/>
          <w:szCs w:val="26"/>
        </w:rPr>
        <w:t xml:space="preserve">2. Methodology</w:t>
      </w:r>
    </w:p>
    <w:p>
      <w:pPr>
        <w:pStyle w:val="Heading3"/>
        <w:spacing w:after="100" w:before="200"/>
      </w:pPr>
      <w:r>
        <w:rPr>
          <w:b/>
          <w:bCs/>
          <w:sz w:val="23"/>
          <w:szCs w:val="23"/>
        </w:rPr>
        <w:t xml:space="preserve">2.1 Data Preparation</w:t>
      </w:r>
    </w:p>
    <w:p>
      <w:pPr>
        <w:spacing w:after="160"/>
      </w:pPr>
      <w:r>
        <w:rPr>
          <w:b/>
          <w:bCs/>
          <w:sz w:val="22"/>
          <w:szCs w:val="22"/>
        </w:rPr>
        <w:t xml:space="preserve">Features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1F4E79" w:color="auto"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5160"/>
            <w:shd w:fill="1F4E79"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4E79" w:color="auto" w:val="clear"/>
            <w:tcMar>
              <w:top w:type="dxa" w:w="80"/>
              <w:left w:type="dxa" w:w="100"/>
              <w:bottom w:type="dxa" w:w="80"/>
              <w:right w:type="dxa" w:w="100"/>
            </w:tcMar>
            <w:vAlign w:val="center"/>
          </w:tcPr>
          <w:p>
            <w:pPr>
              <w:jc w:val="left"/>
            </w:pPr>
            <w:r>
              <w:rPr>
                <w:b/>
                <w:bCs/>
                <w:color w:val="FFFFFF"/>
                <w:sz w:val="20"/>
                <w:szCs w:val="20"/>
              </w:rPr>
              <w:t xml:space="preserve">Units</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Temperature</w:t>
            </w:r>
          </w:p>
        </w:tc>
        <w:tc>
          <w:tcPr>
            <w:tcW w:type="dxa" w:w="5160"/>
            <w:tcMar>
              <w:top w:type="dxa" w:w="70"/>
              <w:left w:type="dxa" w:w="100"/>
              <w:bottom w:type="dxa" w:w="70"/>
              <w:right w:type="dxa" w:w="100"/>
            </w:tcMar>
            <w:vAlign w:val="center"/>
          </w:tcPr>
          <w:p>
            <w:pPr>
              <w:jc w:val="left"/>
            </w:pPr>
            <w:r>
              <w:rPr>
                <w:b w:val="false"/>
                <w:bCs w:val="false"/>
                <w:color w:val="000000"/>
                <w:sz w:val="20"/>
                <w:szCs w:val="20"/>
              </w:rPr>
              <w:t xml:space="preserve">Annual mean air temperature</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°C</w:t>
            </w:r>
          </w:p>
        </w:tc>
      </w:tr>
      <w:tr>
        <w:tc>
          <w:tcPr>
            <w:tcW w:type="dxa" w:w="2400"/>
            <w:shd w:fill="DCE6F1" w:color="auto" w:val="clear"/>
            <w:tcMar>
              <w:top w:type="dxa" w:w="70"/>
              <w:left w:type="dxa" w:w="100"/>
              <w:bottom w:type="dxa" w:w="70"/>
              <w:right w:type="dxa" w:w="100"/>
            </w:tcMar>
            <w:vAlign w:val="center"/>
          </w:tcPr>
          <w:p>
            <w:pPr>
              <w:jc w:val="left"/>
            </w:pPr>
            <w:r>
              <w:rPr>
                <w:b/>
                <w:bCs/>
                <w:color w:val="000000"/>
                <w:sz w:val="20"/>
                <w:szCs w:val="20"/>
              </w:rPr>
              <w:t xml:space="preserve">Rainfall</w:t>
            </w:r>
          </w:p>
        </w:tc>
        <w:tc>
          <w:tcPr>
            <w:tcW w:type="dxa" w:w="51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Annual total precipitation</w:t>
            </w:r>
          </w:p>
        </w:tc>
        <w:tc>
          <w:tcPr>
            <w:tcW w:type="dxa" w:w="1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mm</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SPI-12</w:t>
            </w:r>
          </w:p>
        </w:tc>
        <w:tc>
          <w:tcPr>
            <w:tcW w:type="dxa" w:w="5160"/>
            <w:tcMar>
              <w:top w:type="dxa" w:w="70"/>
              <w:left w:type="dxa" w:w="100"/>
              <w:bottom w:type="dxa" w:w="70"/>
              <w:right w:type="dxa" w:w="100"/>
            </w:tcMar>
            <w:vAlign w:val="center"/>
          </w:tcPr>
          <w:p>
            <w:pPr>
              <w:jc w:val="left"/>
            </w:pPr>
            <w:r>
              <w:rPr>
                <w:b w:val="false"/>
                <w:bCs w:val="false"/>
                <w:color w:val="000000"/>
                <w:sz w:val="20"/>
                <w:szCs w:val="20"/>
              </w:rPr>
              <w:t xml:space="preserve">12-month Standardized Precipitation Index</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dimensionless</w:t>
            </w:r>
          </w:p>
        </w:tc>
      </w:tr>
    </w:tbl>
    <w:p>
      <w:pPr>
        <w:spacing w:after="120"/>
      </w:pPr>
    </w:p>
    <w:p>
      <w:pPr>
        <w:spacing w:after="160"/>
      </w:pPr>
      <w:r>
        <w:rPr>
          <w:b/>
          <w:bCs/>
          <w:sz w:val="22"/>
          <w:szCs w:val="22"/>
        </w:rPr>
        <w:t xml:space="preserve">Targets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1F4E79" w:color="auto" w:val="clear"/>
            <w:tcMar>
              <w:top w:type="dxa" w:w="80"/>
              <w:left w:type="dxa" w:w="100"/>
              <w:bottom w:type="dxa" w:w="80"/>
              <w:right w:type="dxa" w:w="100"/>
            </w:tcMar>
            <w:vAlign w:val="center"/>
          </w:tcPr>
          <w:p>
            <w:pPr>
              <w:jc w:val="left"/>
            </w:pPr>
            <w:r>
              <w:rPr>
                <w:b/>
                <w:bCs/>
                <w:color w:val="FFFFFF"/>
                <w:sz w:val="20"/>
                <w:szCs w:val="20"/>
              </w:rPr>
              <w:t xml:space="preserve">Target</w:t>
            </w:r>
          </w:p>
        </w:tc>
        <w:tc>
          <w:tcPr>
            <w:tcW w:type="dxa" w:w="5160"/>
            <w:shd w:fill="1F4E79"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4E79" w:color="auto" w:val="clear"/>
            <w:tcMar>
              <w:top w:type="dxa" w:w="80"/>
              <w:left w:type="dxa" w:w="100"/>
              <w:bottom w:type="dxa" w:w="80"/>
              <w:right w:type="dxa" w:w="100"/>
            </w:tcMar>
            <w:vAlign w:val="center"/>
          </w:tcPr>
          <w:p>
            <w:pPr>
              <w:jc w:val="left"/>
            </w:pPr>
            <w:r>
              <w:rPr>
                <w:b/>
                <w:bCs/>
                <w:color w:val="FFFFFF"/>
                <w:sz w:val="20"/>
                <w:szCs w:val="20"/>
              </w:rPr>
              <w:t xml:space="preserve">Units</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EC</w:t>
            </w:r>
          </w:p>
        </w:tc>
        <w:tc>
          <w:tcPr>
            <w:tcW w:type="dxa" w:w="5160"/>
            <w:tcMar>
              <w:top w:type="dxa" w:w="70"/>
              <w:left w:type="dxa" w:w="100"/>
              <w:bottom w:type="dxa" w:w="70"/>
              <w:right w:type="dxa" w:w="100"/>
            </w:tcMar>
            <w:vAlign w:val="center"/>
          </w:tcPr>
          <w:p>
            <w:pPr>
              <w:jc w:val="left"/>
            </w:pPr>
            <w:r>
              <w:rPr>
                <w:b w:val="false"/>
                <w:bCs w:val="false"/>
                <w:color w:val="000000"/>
                <w:sz w:val="20"/>
                <w:szCs w:val="20"/>
              </w:rPr>
              <w:t xml:space="preserve">Electrical Conductivity</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µS/cm</w:t>
            </w:r>
          </w:p>
        </w:tc>
      </w:tr>
      <w:tr>
        <w:tc>
          <w:tcPr>
            <w:tcW w:type="dxa" w:w="2400"/>
            <w:shd w:fill="DCE6F1" w:color="auto" w:val="clear"/>
            <w:tcMar>
              <w:top w:type="dxa" w:w="70"/>
              <w:left w:type="dxa" w:w="100"/>
              <w:bottom w:type="dxa" w:w="70"/>
              <w:right w:type="dxa" w:w="100"/>
            </w:tcMar>
            <w:vAlign w:val="center"/>
          </w:tcPr>
          <w:p>
            <w:pPr>
              <w:jc w:val="left"/>
            </w:pPr>
            <w:r>
              <w:rPr>
                <w:b/>
                <w:bCs/>
                <w:color w:val="000000"/>
                <w:sz w:val="20"/>
                <w:szCs w:val="20"/>
              </w:rPr>
              <w:t xml:space="preserve">Nitrate</w:t>
            </w:r>
          </w:p>
        </w:tc>
        <w:tc>
          <w:tcPr>
            <w:tcW w:type="dxa" w:w="51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Nitrate concentration</w:t>
            </w:r>
          </w:p>
        </w:tc>
        <w:tc>
          <w:tcPr>
            <w:tcW w:type="dxa" w:w="1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mg/L</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Chloride</w:t>
            </w:r>
          </w:p>
        </w:tc>
        <w:tc>
          <w:tcPr>
            <w:tcW w:type="dxa" w:w="5160"/>
            <w:tcMar>
              <w:top w:type="dxa" w:w="70"/>
              <w:left w:type="dxa" w:w="100"/>
              <w:bottom w:type="dxa" w:w="70"/>
              <w:right w:type="dxa" w:w="100"/>
            </w:tcMar>
            <w:vAlign w:val="center"/>
          </w:tcPr>
          <w:p>
            <w:pPr>
              <w:jc w:val="left"/>
            </w:pPr>
            <w:r>
              <w:rPr>
                <w:b w:val="false"/>
                <w:bCs w:val="false"/>
                <w:color w:val="000000"/>
                <w:sz w:val="20"/>
                <w:szCs w:val="20"/>
              </w:rPr>
              <w:t xml:space="preserve">Chloride concentration</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mg/L</w:t>
            </w:r>
          </w:p>
        </w:tc>
      </w:tr>
      <w:tr>
        <w:tc>
          <w:tcPr>
            <w:tcW w:type="dxa" w:w="2400"/>
            <w:shd w:fill="DCE6F1" w:color="auto" w:val="clear"/>
            <w:tcMar>
              <w:top w:type="dxa" w:w="70"/>
              <w:left w:type="dxa" w:w="100"/>
              <w:bottom w:type="dxa" w:w="70"/>
              <w:right w:type="dxa" w:w="100"/>
            </w:tcMar>
            <w:vAlign w:val="center"/>
          </w:tcPr>
          <w:p>
            <w:pPr>
              <w:jc w:val="left"/>
            </w:pPr>
            <w:r>
              <w:rPr>
                <w:b/>
                <w:bCs/>
                <w:color w:val="000000"/>
                <w:sz w:val="20"/>
                <w:szCs w:val="20"/>
              </w:rPr>
              <w:t xml:space="preserve">Sulfate</w:t>
            </w:r>
          </w:p>
        </w:tc>
        <w:tc>
          <w:tcPr>
            <w:tcW w:type="dxa" w:w="51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Sulfate concentration</w:t>
            </w:r>
          </w:p>
        </w:tc>
        <w:tc>
          <w:tcPr>
            <w:tcW w:type="dxa" w:w="1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mg/L</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pH</w:t>
            </w:r>
          </w:p>
        </w:tc>
        <w:tc>
          <w:tcPr>
            <w:tcW w:type="dxa" w:w="5160"/>
            <w:tcMar>
              <w:top w:type="dxa" w:w="70"/>
              <w:left w:type="dxa" w:w="100"/>
              <w:bottom w:type="dxa" w:w="70"/>
              <w:right w:type="dxa" w:w="100"/>
            </w:tcMar>
            <w:vAlign w:val="center"/>
          </w:tcPr>
          <w:p>
            <w:pPr>
              <w:jc w:val="left"/>
            </w:pPr>
            <w:r>
              <w:rPr>
                <w:b w:val="false"/>
                <w:bCs w:val="false"/>
                <w:color w:val="000000"/>
                <w:sz w:val="20"/>
                <w:szCs w:val="20"/>
              </w:rPr>
              <w:t xml:space="preserve">pH value</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w:t>
            </w:r>
          </w:p>
        </w:tc>
      </w:tr>
    </w:tbl>
    <w:p>
      <w:pPr>
        <w:spacing w:after="120"/>
      </w:pPr>
    </w:p>
    <w:p>
      <w:pPr>
        <w:pStyle w:val="Heading3"/>
        <w:spacing w:after="100" w:before="200"/>
      </w:pPr>
      <w:r>
        <w:rPr>
          <w:b/>
          <w:bCs/>
          <w:sz w:val="23"/>
          <w:szCs w:val="23"/>
        </w:rPr>
        <w:t xml:space="preserve">2.2 Data Splitting (Temporal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shd w:fill="1F4E79" w:color="auto" w:val="clear"/>
            <w:tcMar>
              <w:top w:type="dxa" w:w="80"/>
              <w:left w:type="dxa" w:w="100"/>
              <w:bottom w:type="dxa" w:w="80"/>
              <w:right w:type="dxa" w:w="100"/>
            </w:tcMar>
            <w:vAlign w:val="center"/>
          </w:tcPr>
          <w:p>
            <w:pPr>
              <w:jc w:val="left"/>
            </w:pPr>
            <w:r>
              <w:rPr>
                <w:b/>
                <w:bCs/>
                <w:color w:val="FFFFFF"/>
                <w:sz w:val="20"/>
                <w:szCs w:val="20"/>
              </w:rPr>
              <w:t xml:space="preserve">Split</w:t>
            </w:r>
          </w:p>
        </w:tc>
        <w:tc>
          <w:tcPr>
            <w:tcW w:type="dxa" w:w="3960"/>
            <w:shd w:fill="1F4E79" w:color="auto" w:val="clear"/>
            <w:tcMar>
              <w:top w:type="dxa" w:w="80"/>
              <w:left w:type="dxa" w:w="100"/>
              <w:bottom w:type="dxa" w:w="80"/>
              <w:right w:type="dxa" w:w="100"/>
            </w:tcMar>
            <w:vAlign w:val="center"/>
          </w:tcPr>
          <w:p>
            <w:pPr>
              <w:jc w:val="left"/>
            </w:pPr>
            <w:r>
              <w:rPr>
                <w:b/>
                <w:bCs/>
                <w:color w:val="FFFFFF"/>
                <w:sz w:val="20"/>
                <w:szCs w:val="20"/>
              </w:rPr>
              <w:t xml:space="preserve">Years</w:t>
            </w:r>
          </w:p>
        </w:tc>
        <w:tc>
          <w:tcPr>
            <w:tcW w:type="dxa" w:w="3000"/>
            <w:shd w:fill="1F4E79" w:color="auto" w:val="clear"/>
            <w:tcMar>
              <w:top w:type="dxa" w:w="80"/>
              <w:left w:type="dxa" w:w="100"/>
              <w:bottom w:type="dxa" w:w="80"/>
              <w:right w:type="dxa" w:w="100"/>
            </w:tcMar>
            <w:vAlign w:val="center"/>
          </w:tcPr>
          <w:p>
            <w:pPr>
              <w:jc w:val="left"/>
            </w:pPr>
            <w:r>
              <w:rPr>
                <w:b/>
                <w:bCs/>
                <w:color w:val="FFFFFF"/>
                <w:sz w:val="20"/>
                <w:szCs w:val="20"/>
              </w:rPr>
              <w:t xml:space="preserve">Rows</w:t>
            </w:r>
          </w:p>
        </w:tc>
      </w:tr>
      <w:tr>
        <w:tc>
          <w:tcPr>
            <w:tcW w:type="dxa" w:w="2400"/>
            <w:tcMar>
              <w:top w:type="dxa" w:w="70"/>
              <w:left w:type="dxa" w:w="100"/>
              <w:bottom w:type="dxa" w:w="70"/>
              <w:right w:type="dxa" w:w="100"/>
            </w:tcMar>
            <w:vAlign w:val="center"/>
          </w:tcPr>
          <w:p>
            <w:pPr>
              <w:jc w:val="left"/>
            </w:pPr>
            <w:r>
              <w:rPr>
                <w:b/>
                <w:bCs/>
                <w:color w:val="000000"/>
                <w:sz w:val="20"/>
                <w:szCs w:val="20"/>
              </w:rPr>
              <w:t xml:space="preserve">Training</w:t>
            </w:r>
          </w:p>
        </w:tc>
        <w:tc>
          <w:tcPr>
            <w:tcW w:type="dxa" w:w="3960"/>
            <w:tcMar>
              <w:top w:type="dxa" w:w="70"/>
              <w:left w:type="dxa" w:w="100"/>
              <w:bottom w:type="dxa" w:w="70"/>
              <w:right w:type="dxa" w:w="100"/>
            </w:tcMar>
            <w:vAlign w:val="center"/>
          </w:tcPr>
          <w:p>
            <w:pPr>
              <w:jc w:val="left"/>
            </w:pPr>
            <w:r>
              <w:rPr>
                <w:b w:val="false"/>
                <w:bCs w:val="false"/>
                <w:color w:val="000000"/>
                <w:sz w:val="20"/>
                <w:szCs w:val="20"/>
              </w:rPr>
              <w:t xml:space="preserve">2015–2021</w:t>
            </w:r>
          </w:p>
        </w:tc>
        <w:tc>
          <w:tcPr>
            <w:tcW w:type="dxa" w:w="3000"/>
            <w:tcMar>
              <w:top w:type="dxa" w:w="70"/>
              <w:left w:type="dxa" w:w="100"/>
              <w:bottom w:type="dxa" w:w="70"/>
              <w:right w:type="dxa" w:w="100"/>
            </w:tcMar>
            <w:vAlign w:val="center"/>
          </w:tcPr>
          <w:p>
            <w:pPr>
              <w:jc w:val="left"/>
            </w:pPr>
            <w:r>
              <w:rPr>
                <w:b w:val="false"/>
                <w:bCs w:val="false"/>
                <w:color w:val="000000"/>
                <w:sz w:val="20"/>
                <w:szCs w:val="20"/>
              </w:rPr>
              <w:t xml:space="preserve">484 rows (73.2%)</w:t>
            </w:r>
          </w:p>
        </w:tc>
      </w:tr>
      <w:tr>
        <w:tc>
          <w:tcPr>
            <w:tcW w:type="dxa" w:w="2400"/>
            <w:shd w:fill="DCE6F1" w:color="auto" w:val="clear"/>
            <w:tcMar>
              <w:top w:type="dxa" w:w="70"/>
              <w:left w:type="dxa" w:w="100"/>
              <w:bottom w:type="dxa" w:w="70"/>
              <w:right w:type="dxa" w:w="100"/>
            </w:tcMar>
            <w:vAlign w:val="center"/>
          </w:tcPr>
          <w:p>
            <w:pPr>
              <w:jc w:val="left"/>
            </w:pPr>
            <w:r>
              <w:rPr>
                <w:b/>
                <w:bCs/>
                <w:color w:val="000000"/>
                <w:sz w:val="20"/>
                <w:szCs w:val="20"/>
              </w:rPr>
              <w:t xml:space="preserve">Testing</w:t>
            </w:r>
          </w:p>
        </w:tc>
        <w:tc>
          <w:tcPr>
            <w:tcW w:type="dxa" w:w="39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2022–2024</w:t>
            </w:r>
          </w:p>
        </w:tc>
        <w:tc>
          <w:tcPr>
            <w:tcW w:type="dxa" w:w="30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177 rows (26.8%)</w:t>
            </w:r>
          </w:p>
        </w:tc>
      </w:tr>
    </w:tbl>
    <w:p>
      <w:pPr>
        <w:spacing w:after="120"/>
      </w:pPr>
    </w:p>
    <w:p>
      <w:pPr>
        <w:spacing w:after="160"/>
      </w:pPr>
      <w:r>
        <w:rPr>
          <w:sz w:val="22"/>
          <w:szCs w:val="22"/>
        </w:rPr>
        <w:t xml:space="preserve">Justification: This temporal split tests the model’s ability to predict future years, which is the primary practical application of the framework.</w:t>
      </w:r>
    </w:p>
    <w:p>
      <w:pPr>
        <w:pStyle w:val="Heading3"/>
        <w:spacing w:after="100" w:before="200"/>
      </w:pPr>
      <w:r>
        <w:rPr>
          <w:b/>
          <w:bCs/>
          <w:sz w:val="23"/>
          <w:szCs w:val="23"/>
        </w:rPr>
        <w:t xml:space="preserve">2.3 Feature Scaling</w:t>
      </w:r>
    </w:p>
    <w:p>
      <w:pPr>
        <w:spacing w:after="160"/>
      </w:pPr>
      <w:r>
        <w:rPr>
          <w:sz w:val="22"/>
          <w:szCs w:val="22"/>
        </w:rPr>
        <w:t xml:space="preserve">All features were standardized using StandardScaler (zero mean, unit variance) to ensure equal weighting in the models:</w:t>
      </w:r>
    </w:p>
    <w:p>
      <w:pPr>
        <w:spacing w:after="160"/>
        <w:jc w:val="center"/>
      </w:pPr>
      <w:r>
        <w:rPr>
          <w:i/>
          <w:iCs/>
          <w:sz w:val="24"/>
          <w:szCs w:val="24"/>
        </w:rPr>
        <w:t xml:space="preserve">z = (x − μ) / σ</w:t>
      </w:r>
    </w:p>
    <w:p>
      <w:pPr>
        <w:spacing w:after="160"/>
      </w:pPr>
      <w:r>
        <w:rPr>
          <w:sz w:val="22"/>
          <w:szCs w:val="22"/>
        </w:rPr>
        <w:t xml:space="preserve">The scaler was fitted only on training data to prevent data leakage and saved for future predictions.</w:t>
      </w:r>
    </w:p>
    <w:p>
      <w:pPr>
        <w:pStyle w:val="Heading3"/>
        <w:spacing w:after="100" w:before="200"/>
      </w:pPr>
      <w:r>
        <w:rPr>
          <w:b/>
          <w:bCs/>
          <w:sz w:val="23"/>
          <w:szCs w:val="23"/>
        </w:rPr>
        <w:t xml:space="preserve">2.4 Machine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shd w:fill="1F4E79" w:color="auto"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3760"/>
            <w:shd w:fill="1F4E79"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3700"/>
            <w:shd w:fill="1F4E79" w:color="auto" w:val="clear"/>
            <w:tcMar>
              <w:top w:type="dxa" w:w="80"/>
              <w:left w:type="dxa" w:w="100"/>
              <w:bottom w:type="dxa" w:w="80"/>
              <w:right w:type="dxa" w:w="100"/>
            </w:tcMar>
            <w:vAlign w:val="center"/>
          </w:tcPr>
          <w:p>
            <w:pPr>
              <w:jc w:val="left"/>
            </w:pPr>
            <w:r>
              <w:rPr>
                <w:b/>
                <w:bCs/>
                <w:color w:val="FFFFFF"/>
                <w:sz w:val="20"/>
                <w:szCs w:val="20"/>
              </w:rPr>
              <w:t xml:space="preserve">Hyperparameters</w:t>
            </w:r>
          </w:p>
        </w:tc>
      </w:tr>
      <w:tr>
        <w:tc>
          <w:tcPr>
            <w:tcW w:type="dxa" w:w="1900"/>
            <w:tcMar>
              <w:top w:type="dxa" w:w="70"/>
              <w:left w:type="dxa" w:w="100"/>
              <w:bottom w:type="dxa" w:w="70"/>
              <w:right w:type="dxa" w:w="100"/>
            </w:tcMar>
            <w:vAlign w:val="center"/>
          </w:tcPr>
          <w:p>
            <w:pPr>
              <w:jc w:val="left"/>
            </w:pPr>
            <w:r>
              <w:rPr>
                <w:b/>
                <w:bCs/>
                <w:color w:val="000000"/>
                <w:sz w:val="20"/>
                <w:szCs w:val="20"/>
              </w:rPr>
              <w:t xml:space="preserve">Random Forest</w:t>
            </w:r>
          </w:p>
        </w:tc>
        <w:tc>
          <w:tcPr>
            <w:tcW w:type="dxa" w:w="3760"/>
            <w:tcMar>
              <w:top w:type="dxa" w:w="70"/>
              <w:left w:type="dxa" w:w="100"/>
              <w:bottom w:type="dxa" w:w="70"/>
              <w:right w:type="dxa" w:w="100"/>
            </w:tcMar>
            <w:vAlign w:val="center"/>
          </w:tcPr>
          <w:p>
            <w:pPr>
              <w:jc w:val="left"/>
            </w:pPr>
            <w:r>
              <w:rPr>
                <w:b w:val="false"/>
                <w:bCs w:val="false"/>
                <w:color w:val="000000"/>
                <w:sz w:val="20"/>
                <w:szCs w:val="20"/>
              </w:rPr>
              <w:t xml:space="preserve">Ensemble of decision trees; handles non-linearity and interactions well</w:t>
            </w:r>
          </w:p>
        </w:tc>
        <w:tc>
          <w:tcPr>
            <w:tcW w:type="dxa" w:w="3700"/>
            <w:tcMar>
              <w:top w:type="dxa" w:w="70"/>
              <w:left w:type="dxa" w:w="100"/>
              <w:bottom w:type="dxa" w:w="70"/>
              <w:right w:type="dxa" w:w="100"/>
            </w:tcMar>
            <w:vAlign w:val="center"/>
          </w:tcPr>
          <w:p>
            <w:pPr>
              <w:jc w:val="left"/>
            </w:pPr>
            <w:r>
              <w:rPr>
                <w:b w:val="false"/>
                <w:bCs w:val="false"/>
                <w:color w:val="000000"/>
                <w:sz w:val="20"/>
                <w:szCs w:val="20"/>
              </w:rPr>
              <w:t xml:space="preserve">n_estimators=100, max_depth=10, random_state=42</w:t>
            </w:r>
          </w:p>
        </w:tc>
      </w:tr>
      <w:tr>
        <w:tc>
          <w:tcPr>
            <w:tcW w:type="dxa" w:w="1900"/>
            <w:shd w:fill="DCE6F1" w:color="auto" w:val="clear"/>
            <w:tcMar>
              <w:top w:type="dxa" w:w="70"/>
              <w:left w:type="dxa" w:w="100"/>
              <w:bottom w:type="dxa" w:w="70"/>
              <w:right w:type="dxa" w:w="100"/>
            </w:tcMar>
            <w:vAlign w:val="center"/>
          </w:tcPr>
          <w:p>
            <w:pPr>
              <w:jc w:val="left"/>
            </w:pPr>
            <w:r>
              <w:rPr>
                <w:b/>
                <w:bCs/>
                <w:color w:val="000000"/>
                <w:sz w:val="20"/>
                <w:szCs w:val="20"/>
              </w:rPr>
              <w:t xml:space="preserve">XGBoost</w:t>
            </w:r>
          </w:p>
        </w:tc>
        <w:tc>
          <w:tcPr>
            <w:tcW w:type="dxa" w:w="3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Gradient boosting; often provides state-of-the-art performance on tabular data</w:t>
            </w:r>
          </w:p>
        </w:tc>
        <w:tc>
          <w:tcPr>
            <w:tcW w:type="dxa" w:w="37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n_estimators=100, max_depth=6, learning_rate=0.1</w:t>
            </w:r>
          </w:p>
        </w:tc>
      </w:tr>
    </w:tbl>
    <w:p>
      <w:pPr>
        <w:spacing w:after="120"/>
      </w:pPr>
    </w:p>
    <w:p>
      <w:pPr>
        <w:pStyle w:val="Heading3"/>
        <w:spacing w:after="100" w:before="200"/>
      </w:pPr>
      <w:r>
        <w:rPr>
          <w:b/>
          <w:bCs/>
          <w:sz w:val="23"/>
          <w:szCs w:val="23"/>
        </w:rPr>
        <w:t xml:space="preserve">2.5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4400"/>
        <w:gridCol w:w="1800"/>
      </w:tblGrid>
      <w:tr>
        <w:trPr>
          <w:tblHeader/>
        </w:trPr>
        <w:tc>
          <w:tcPr>
            <w:tcW w:type="dxa" w:w="3160"/>
            <w:shd w:fill="1F4E79" w:color="auto"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4400"/>
            <w:shd w:fill="1F4E79"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4E79" w:color="auto" w:val="clear"/>
            <w:tcMar>
              <w:top w:type="dxa" w:w="80"/>
              <w:left w:type="dxa" w:w="100"/>
              <w:bottom w:type="dxa" w:w="80"/>
              <w:right w:type="dxa" w:w="100"/>
            </w:tcMar>
            <w:vAlign w:val="center"/>
          </w:tcPr>
          <w:p>
            <w:pPr>
              <w:jc w:val="left"/>
            </w:pPr>
            <w:r>
              <w:rPr>
                <w:b/>
                <w:bCs/>
                <w:color w:val="FFFFFF"/>
                <w:sz w:val="20"/>
                <w:szCs w:val="20"/>
              </w:rPr>
              <w:t xml:space="preserve">Preferred Value</w:t>
            </w:r>
          </w:p>
        </w:tc>
      </w:tr>
      <w:tr>
        <w:tc>
          <w:tcPr>
            <w:tcW w:type="dxa" w:w="3160"/>
            <w:tcMar>
              <w:top w:type="dxa" w:w="70"/>
              <w:left w:type="dxa" w:w="100"/>
              <w:bottom w:type="dxa" w:w="70"/>
              <w:right w:type="dxa" w:w="100"/>
            </w:tcMar>
            <w:vAlign w:val="center"/>
          </w:tcPr>
          <w:p>
            <w:pPr>
              <w:jc w:val="left"/>
            </w:pPr>
            <w:r>
              <w:rPr>
                <w:b/>
                <w:bCs/>
                <w:color w:val="000000"/>
                <w:sz w:val="20"/>
                <w:szCs w:val="20"/>
              </w:rPr>
              <w:t xml:space="preserve">MAE (Mean Absolute Error)</w:t>
            </w:r>
          </w:p>
        </w:tc>
        <w:tc>
          <w:tcPr>
            <w:tcW w:type="dxa" w:w="4400"/>
            <w:tcMar>
              <w:top w:type="dxa" w:w="70"/>
              <w:left w:type="dxa" w:w="100"/>
              <w:bottom w:type="dxa" w:w="70"/>
              <w:right w:type="dxa" w:w="100"/>
            </w:tcMar>
            <w:vAlign w:val="center"/>
          </w:tcPr>
          <w:p>
            <w:pPr>
              <w:jc w:val="left"/>
            </w:pPr>
            <w:r>
              <w:rPr>
                <w:b w:val="false"/>
                <w:bCs w:val="false"/>
                <w:color w:val="000000"/>
                <w:sz w:val="20"/>
                <w:szCs w:val="20"/>
              </w:rPr>
              <w:t xml:space="preserve">Primary metric — average error in original units</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Lower is better</w:t>
            </w:r>
          </w:p>
        </w:tc>
      </w:tr>
      <w:tr>
        <w:tc>
          <w:tcPr>
            <w:tcW w:type="dxa" w:w="3160"/>
            <w:shd w:fill="DCE6F1" w:color="auto" w:val="clear"/>
            <w:tcMar>
              <w:top w:type="dxa" w:w="70"/>
              <w:left w:type="dxa" w:w="100"/>
              <w:bottom w:type="dxa" w:w="70"/>
              <w:right w:type="dxa" w:w="100"/>
            </w:tcMar>
            <w:vAlign w:val="center"/>
          </w:tcPr>
          <w:p>
            <w:pPr>
              <w:jc w:val="left"/>
            </w:pPr>
            <w:r>
              <w:rPr>
                <w:b/>
                <w:bCs/>
                <w:color w:val="000000"/>
                <w:sz w:val="20"/>
                <w:szCs w:val="20"/>
              </w:rPr>
              <w:t xml:space="preserve">RMSE (Root Mean Square Error)</w:t>
            </w:r>
          </w:p>
        </w:tc>
        <w:tc>
          <w:tcPr>
            <w:tcW w:type="dxa" w:w="44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Secondary metric — penalizes large errors</w:t>
            </w:r>
          </w:p>
        </w:tc>
        <w:tc>
          <w:tcPr>
            <w:tcW w:type="dxa" w:w="1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Lower is better</w:t>
            </w:r>
          </w:p>
        </w:tc>
      </w:tr>
      <w:tr>
        <w:tc>
          <w:tcPr>
            <w:tcW w:type="dxa" w:w="3160"/>
            <w:tcMar>
              <w:top w:type="dxa" w:w="70"/>
              <w:left w:type="dxa" w:w="100"/>
              <w:bottom w:type="dxa" w:w="70"/>
              <w:right w:type="dxa" w:w="100"/>
            </w:tcMar>
            <w:vAlign w:val="center"/>
          </w:tcPr>
          <w:p>
            <w:pPr>
              <w:jc w:val="left"/>
            </w:pPr>
            <w:r>
              <w:rPr>
                <w:b/>
                <w:bCs/>
                <w:color w:val="000000"/>
                <w:sz w:val="20"/>
                <w:szCs w:val="20"/>
              </w:rPr>
              <w:t xml:space="preserve">R² (Coefficient of Determination)</w:t>
            </w:r>
          </w:p>
        </w:tc>
        <w:tc>
          <w:tcPr>
            <w:tcW w:type="dxa" w:w="4400"/>
            <w:tcMar>
              <w:top w:type="dxa" w:w="70"/>
              <w:left w:type="dxa" w:w="100"/>
              <w:bottom w:type="dxa" w:w="70"/>
              <w:right w:type="dxa" w:w="100"/>
            </w:tcMar>
            <w:vAlign w:val="center"/>
          </w:tcPr>
          <w:p>
            <w:pPr>
              <w:jc w:val="left"/>
            </w:pPr>
            <w:r>
              <w:rPr>
                <w:b w:val="false"/>
                <w:bCs w:val="false"/>
                <w:color w:val="000000"/>
                <w:sz w:val="20"/>
                <w:szCs w:val="20"/>
              </w:rPr>
              <w:t xml:space="preserve">Supplementary — variance explained</w:t>
            </w:r>
          </w:p>
        </w:tc>
        <w:tc>
          <w:tcPr>
            <w:tcW w:type="dxa" w:w="1800"/>
            <w:tcMar>
              <w:top w:type="dxa" w:w="70"/>
              <w:left w:type="dxa" w:w="100"/>
              <w:bottom w:type="dxa" w:w="70"/>
              <w:right w:type="dxa" w:w="100"/>
            </w:tcMar>
            <w:vAlign w:val="center"/>
          </w:tcPr>
          <w:p>
            <w:pPr>
              <w:jc w:val="left"/>
            </w:pPr>
            <w:r>
              <w:rPr>
                <w:b w:val="false"/>
                <w:bCs w:val="false"/>
                <w:color w:val="000000"/>
                <w:sz w:val="20"/>
                <w:szCs w:val="20"/>
              </w:rPr>
              <w:t xml:space="preserve">Higher is better</w:t>
            </w:r>
          </w:p>
        </w:tc>
      </w:tr>
    </w:tbl>
    <w:p>
      <w:pPr>
        <w:spacing w:after="120"/>
      </w:pPr>
    </w:p>
    <w:p>
      <w:pPr>
        <w:spacing w:after="160"/>
      </w:pPr>
      <w:r>
        <w:rPr>
          <w:sz w:val="22"/>
          <w:szCs w:val="22"/>
        </w:rPr>
        <w:t xml:space="preserve">MAE was treated as the primary error metric, following Prof. Buchmann’s methodological guidance.</w:t>
      </w:r>
    </w:p>
    <w:p>
      <w:pPr>
        <w:pStyle w:val="Heading2"/>
        <w:spacing w:after="120" w:before="260"/>
      </w:pPr>
      <w:r>
        <w:rPr>
          <w:b/>
          <w:bCs/>
          <w:color w:val="1F4E79"/>
          <w:sz w:val="26"/>
          <w:szCs w:val="26"/>
        </w:rPr>
        <w:t xml:space="preserve">3. Results</w:t>
      </w:r>
    </w:p>
    <w:p>
      <w:pPr>
        <w:pStyle w:val="Heading3"/>
        <w:spacing w:after="100" w:before="200"/>
      </w:pPr>
      <w:r>
        <w:rPr>
          <w:b/>
          <w:bCs/>
          <w:sz w:val="23"/>
          <w:szCs w:val="23"/>
        </w:rPr>
        <w:t xml:space="preserve">3.1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1760"/>
        <w:gridCol w:w="1560"/>
        <w:gridCol w:w="1440"/>
        <w:gridCol w:w="1280"/>
      </w:tblGrid>
      <w:tr>
        <w:trPr>
          <w:tblHeader/>
        </w:trPr>
        <w:tc>
          <w:tcPr>
            <w:tcW w:type="dxa" w:w="1560"/>
            <w:shd w:fill="1F4E79"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1760"/>
            <w:shd w:fill="1F4E79" w:color="auto" w:val="clear"/>
            <w:tcMar>
              <w:top w:type="dxa" w:w="80"/>
              <w:left w:type="dxa" w:w="100"/>
              <w:bottom w:type="dxa" w:w="80"/>
              <w:right w:type="dxa" w:w="100"/>
            </w:tcMar>
            <w:vAlign w:val="center"/>
          </w:tcPr>
          <w:p>
            <w:pPr>
              <w:jc w:val="left"/>
            </w:pPr>
            <w:r>
              <w:rPr>
                <w:b/>
                <w:bCs/>
                <w:color w:val="FFFFFF"/>
                <w:sz w:val="20"/>
                <w:szCs w:val="20"/>
              </w:rPr>
              <w:t xml:space="preserve">Baseline (Naive) MAE</w:t>
            </w:r>
          </w:p>
        </w:tc>
        <w:tc>
          <w:tcPr>
            <w:tcW w:type="dxa" w:w="1760"/>
            <w:shd w:fill="1F4E79" w:color="auto" w:val="clear"/>
            <w:tcMar>
              <w:top w:type="dxa" w:w="80"/>
              <w:left w:type="dxa" w:w="100"/>
              <w:bottom w:type="dxa" w:w="80"/>
              <w:right w:type="dxa" w:w="100"/>
            </w:tcMar>
            <w:vAlign w:val="center"/>
          </w:tcPr>
          <w:p>
            <w:pPr>
              <w:jc w:val="left"/>
            </w:pPr>
            <w:r>
              <w:rPr>
                <w:b/>
                <w:bCs/>
                <w:color w:val="FFFFFF"/>
                <w:sz w:val="20"/>
                <w:szCs w:val="20"/>
              </w:rPr>
              <w:t xml:space="preserve">Random Forest MAE</w:t>
            </w:r>
          </w:p>
        </w:tc>
        <w:tc>
          <w:tcPr>
            <w:tcW w:type="dxa" w:w="1560"/>
            <w:shd w:fill="1F4E79" w:color="auto" w:val="clear"/>
            <w:tcMar>
              <w:top w:type="dxa" w:w="80"/>
              <w:left w:type="dxa" w:w="100"/>
              <w:bottom w:type="dxa" w:w="80"/>
              <w:right w:type="dxa" w:w="100"/>
            </w:tcMar>
            <w:vAlign w:val="center"/>
          </w:tcPr>
          <w:p>
            <w:pPr>
              <w:jc w:val="left"/>
            </w:pPr>
            <w:r>
              <w:rPr>
                <w:b/>
                <w:bCs/>
                <w:color w:val="FFFFFF"/>
                <w:sz w:val="20"/>
                <w:szCs w:val="20"/>
              </w:rPr>
              <w:t xml:space="preserve">XGBoost MAE</w:t>
            </w:r>
          </w:p>
        </w:tc>
        <w:tc>
          <w:tcPr>
            <w:tcW w:type="dxa" w:w="1440"/>
            <w:shd w:fill="1F4E79" w:color="auto" w:val="clear"/>
            <w:tcMar>
              <w:top w:type="dxa" w:w="80"/>
              <w:left w:type="dxa" w:w="100"/>
              <w:bottom w:type="dxa" w:w="80"/>
              <w:right w:type="dxa" w:w="100"/>
            </w:tcMar>
            <w:vAlign w:val="center"/>
          </w:tcPr>
          <w:p>
            <w:pPr>
              <w:jc w:val="left"/>
            </w:pPr>
            <w:r>
              <w:rPr>
                <w:b/>
                <w:bCs/>
                <w:color w:val="FFFFFF"/>
                <w:sz w:val="20"/>
                <w:szCs w:val="20"/>
              </w:rPr>
              <w:t xml:space="preserve">RF Improvement</w:t>
            </w:r>
          </w:p>
        </w:tc>
        <w:tc>
          <w:tcPr>
            <w:tcW w:type="dxa" w:w="1280"/>
            <w:shd w:fill="1F4E79" w:color="auto" w:val="clear"/>
            <w:tcMar>
              <w:top w:type="dxa" w:w="80"/>
              <w:left w:type="dxa" w:w="100"/>
              <w:bottom w:type="dxa" w:w="80"/>
              <w:right w:type="dxa" w:w="100"/>
            </w:tcMar>
            <w:vAlign w:val="center"/>
          </w:tcPr>
          <w:p>
            <w:pPr>
              <w:jc w:val="left"/>
            </w:pPr>
            <w:r>
              <w:rPr>
                <w:b/>
                <w:bCs/>
                <w:color w:val="FFFFFF"/>
                <w:sz w:val="20"/>
                <w:szCs w:val="20"/>
              </w:rPr>
              <w:t xml:space="preserve">XGB Improvement</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EC</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351.2</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348.5</w:t>
            </w:r>
          </w:p>
        </w:tc>
        <w:tc>
          <w:tcPr>
            <w:tcW w:type="dxa" w:w="1560"/>
            <w:tcMar>
              <w:top w:type="dxa" w:w="70"/>
              <w:left w:type="dxa" w:w="100"/>
              <w:bottom w:type="dxa" w:w="70"/>
              <w:right w:type="dxa" w:w="100"/>
            </w:tcMar>
            <w:vAlign w:val="center"/>
          </w:tcPr>
          <w:p>
            <w:pPr>
              <w:jc w:val="left"/>
            </w:pPr>
            <w:r>
              <w:rPr>
                <w:b w:val="false"/>
                <w:bCs w:val="false"/>
                <w:color w:val="000000"/>
                <w:sz w:val="20"/>
                <w:szCs w:val="20"/>
              </w:rPr>
              <w:t xml:space="preserve">355.8</w:t>
            </w:r>
          </w:p>
        </w:tc>
        <w:tc>
          <w:tcPr>
            <w:tcW w:type="dxa" w:w="1440"/>
            <w:tcMar>
              <w:top w:type="dxa" w:w="70"/>
              <w:left w:type="dxa" w:w="100"/>
              <w:bottom w:type="dxa" w:w="70"/>
              <w:right w:type="dxa" w:w="100"/>
            </w:tcMar>
            <w:vAlign w:val="center"/>
          </w:tcPr>
          <w:p>
            <w:pPr>
              <w:jc w:val="left"/>
            </w:pPr>
            <w:r>
              <w:rPr>
                <w:b w:val="false"/>
                <w:bCs w:val="false"/>
                <w:color w:val="000000"/>
                <w:sz w:val="20"/>
                <w:szCs w:val="20"/>
              </w:rPr>
              <w:t xml:space="preserve">0.8%</w:t>
            </w:r>
          </w:p>
        </w:tc>
        <w:tc>
          <w:tcPr>
            <w:tcW w:type="dxa" w:w="1280"/>
            <w:tcMar>
              <w:top w:type="dxa" w:w="70"/>
              <w:left w:type="dxa" w:w="100"/>
              <w:bottom w:type="dxa" w:w="70"/>
              <w:right w:type="dxa" w:w="100"/>
            </w:tcMar>
            <w:vAlign w:val="center"/>
          </w:tcPr>
          <w:p>
            <w:pPr>
              <w:jc w:val="left"/>
            </w:pPr>
            <w:r>
              <w:rPr>
                <w:b w:val="false"/>
                <w:bCs w:val="false"/>
                <w:color w:val="000000"/>
                <w:sz w:val="20"/>
                <w:szCs w:val="20"/>
              </w:rPr>
              <w:t xml:space="preserve">-1.3%</w:t>
            </w:r>
          </w:p>
        </w:tc>
      </w:tr>
      <w:tr>
        <w:tc>
          <w:tcPr>
            <w:tcW w:type="dxa" w:w="1560"/>
            <w:shd w:fill="DCE6F1" w:color="auto" w:val="clear"/>
            <w:tcMar>
              <w:top w:type="dxa" w:w="70"/>
              <w:left w:type="dxa" w:w="100"/>
              <w:bottom w:type="dxa" w:w="70"/>
              <w:right w:type="dxa" w:w="100"/>
            </w:tcMar>
            <w:vAlign w:val="center"/>
          </w:tcPr>
          <w:p>
            <w:pPr>
              <w:jc w:val="left"/>
            </w:pPr>
            <w:r>
              <w:rPr>
                <w:b/>
                <w:bCs/>
                <w:color w:val="000000"/>
                <w:sz w:val="20"/>
                <w:szCs w:val="20"/>
              </w:rPr>
              <w:t xml:space="preserve">Nitrate</w:t>
            </w:r>
          </w:p>
        </w:tc>
        <w:tc>
          <w:tcPr>
            <w:tcW w:type="dxa" w:w="1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13.2</w:t>
            </w:r>
          </w:p>
        </w:tc>
        <w:tc>
          <w:tcPr>
            <w:tcW w:type="dxa" w:w="1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11.8</w:t>
            </w:r>
          </w:p>
        </w:tc>
        <w:tc>
          <w:tcPr>
            <w:tcW w:type="dxa" w:w="15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12.4</w:t>
            </w:r>
          </w:p>
        </w:tc>
        <w:tc>
          <w:tcPr>
            <w:tcW w:type="dxa" w:w="14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10.6%</w:t>
            </w:r>
          </w:p>
        </w:tc>
        <w:tc>
          <w:tcPr>
            <w:tcW w:type="dxa" w:w="128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6.1%</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Chloride</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38.7</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34.2</w:t>
            </w:r>
          </w:p>
        </w:tc>
        <w:tc>
          <w:tcPr>
            <w:tcW w:type="dxa" w:w="1560"/>
            <w:tcMar>
              <w:top w:type="dxa" w:w="70"/>
              <w:left w:type="dxa" w:w="100"/>
              <w:bottom w:type="dxa" w:w="70"/>
              <w:right w:type="dxa" w:w="100"/>
            </w:tcMar>
            <w:vAlign w:val="center"/>
          </w:tcPr>
          <w:p>
            <w:pPr>
              <w:jc w:val="left"/>
            </w:pPr>
            <w:r>
              <w:rPr>
                <w:b w:val="false"/>
                <w:bCs w:val="false"/>
                <w:color w:val="000000"/>
                <w:sz w:val="20"/>
                <w:szCs w:val="20"/>
              </w:rPr>
              <w:t xml:space="preserve">35.9</w:t>
            </w:r>
          </w:p>
        </w:tc>
        <w:tc>
          <w:tcPr>
            <w:tcW w:type="dxa" w:w="1440"/>
            <w:tcMar>
              <w:top w:type="dxa" w:w="70"/>
              <w:left w:type="dxa" w:w="100"/>
              <w:bottom w:type="dxa" w:w="70"/>
              <w:right w:type="dxa" w:w="100"/>
            </w:tcMar>
            <w:vAlign w:val="center"/>
          </w:tcPr>
          <w:p>
            <w:pPr>
              <w:jc w:val="left"/>
            </w:pPr>
            <w:r>
              <w:rPr>
                <w:b w:val="false"/>
                <w:bCs w:val="false"/>
                <w:color w:val="000000"/>
                <w:sz w:val="20"/>
                <w:szCs w:val="20"/>
              </w:rPr>
              <w:t xml:space="preserve">11.6%</w:t>
            </w:r>
          </w:p>
        </w:tc>
        <w:tc>
          <w:tcPr>
            <w:tcW w:type="dxa" w:w="1280"/>
            <w:tcMar>
              <w:top w:type="dxa" w:w="70"/>
              <w:left w:type="dxa" w:w="100"/>
              <w:bottom w:type="dxa" w:w="70"/>
              <w:right w:type="dxa" w:w="100"/>
            </w:tcMar>
            <w:vAlign w:val="center"/>
          </w:tcPr>
          <w:p>
            <w:pPr>
              <w:jc w:val="left"/>
            </w:pPr>
            <w:r>
              <w:rPr>
                <w:b w:val="false"/>
                <w:bCs w:val="false"/>
                <w:color w:val="000000"/>
                <w:sz w:val="20"/>
                <w:szCs w:val="20"/>
              </w:rPr>
              <w:t xml:space="preserve">7.2%</w:t>
            </w:r>
          </w:p>
        </w:tc>
      </w:tr>
      <w:tr>
        <w:tc>
          <w:tcPr>
            <w:tcW w:type="dxa" w:w="1560"/>
            <w:shd w:fill="DCE6F1" w:color="auto" w:val="clear"/>
            <w:tcMar>
              <w:top w:type="dxa" w:w="70"/>
              <w:left w:type="dxa" w:w="100"/>
              <w:bottom w:type="dxa" w:w="70"/>
              <w:right w:type="dxa" w:w="100"/>
            </w:tcMar>
            <w:vAlign w:val="center"/>
          </w:tcPr>
          <w:p>
            <w:pPr>
              <w:jc w:val="left"/>
            </w:pPr>
            <w:r>
              <w:rPr>
                <w:b/>
                <w:bCs/>
                <w:color w:val="000000"/>
                <w:sz w:val="20"/>
                <w:szCs w:val="20"/>
              </w:rPr>
              <w:t xml:space="preserve">Sulfate</w:t>
            </w:r>
          </w:p>
        </w:tc>
        <w:tc>
          <w:tcPr>
            <w:tcW w:type="dxa" w:w="1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128.5</w:t>
            </w:r>
          </w:p>
        </w:tc>
        <w:tc>
          <w:tcPr>
            <w:tcW w:type="dxa" w:w="1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122.3</w:t>
            </w:r>
          </w:p>
        </w:tc>
        <w:tc>
          <w:tcPr>
            <w:tcW w:type="dxa" w:w="15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126.1</w:t>
            </w:r>
          </w:p>
        </w:tc>
        <w:tc>
          <w:tcPr>
            <w:tcW w:type="dxa" w:w="14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4.8%</w:t>
            </w:r>
          </w:p>
        </w:tc>
        <w:tc>
          <w:tcPr>
            <w:tcW w:type="dxa" w:w="128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1.9%</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pH</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0.48</w:t>
            </w:r>
          </w:p>
        </w:tc>
        <w:tc>
          <w:tcPr>
            <w:tcW w:type="dxa" w:w="1760"/>
            <w:tcMar>
              <w:top w:type="dxa" w:w="70"/>
              <w:left w:type="dxa" w:w="100"/>
              <w:bottom w:type="dxa" w:w="70"/>
              <w:right w:type="dxa" w:w="100"/>
            </w:tcMar>
            <w:vAlign w:val="center"/>
          </w:tcPr>
          <w:p>
            <w:pPr>
              <w:jc w:val="left"/>
            </w:pPr>
            <w:r>
              <w:rPr>
                <w:b w:val="false"/>
                <w:bCs w:val="false"/>
                <w:color w:val="000000"/>
                <w:sz w:val="20"/>
                <w:szCs w:val="20"/>
              </w:rPr>
              <w:t xml:space="preserve">0.39</w:t>
            </w:r>
          </w:p>
        </w:tc>
        <w:tc>
          <w:tcPr>
            <w:tcW w:type="dxa" w:w="1560"/>
            <w:tcMar>
              <w:top w:type="dxa" w:w="70"/>
              <w:left w:type="dxa" w:w="100"/>
              <w:bottom w:type="dxa" w:w="70"/>
              <w:right w:type="dxa" w:w="100"/>
            </w:tcMar>
            <w:vAlign w:val="center"/>
          </w:tcPr>
          <w:p>
            <w:pPr>
              <w:jc w:val="left"/>
            </w:pPr>
            <w:r>
              <w:rPr>
                <w:b w:val="false"/>
                <w:bCs w:val="false"/>
                <w:color w:val="000000"/>
                <w:sz w:val="20"/>
                <w:szCs w:val="20"/>
              </w:rPr>
              <w:t xml:space="preserve">0.42</w:t>
            </w:r>
          </w:p>
        </w:tc>
        <w:tc>
          <w:tcPr>
            <w:tcW w:type="dxa" w:w="1440"/>
            <w:tcMar>
              <w:top w:type="dxa" w:w="70"/>
              <w:left w:type="dxa" w:w="100"/>
              <w:bottom w:type="dxa" w:w="70"/>
              <w:right w:type="dxa" w:w="100"/>
            </w:tcMar>
            <w:vAlign w:val="center"/>
          </w:tcPr>
          <w:p>
            <w:pPr>
              <w:jc w:val="left"/>
            </w:pPr>
            <w:r>
              <w:rPr>
                <w:b w:val="false"/>
                <w:bCs w:val="false"/>
                <w:color w:val="000000"/>
                <w:sz w:val="20"/>
                <w:szCs w:val="20"/>
              </w:rPr>
              <w:t xml:space="preserve">18.8%</w:t>
            </w:r>
          </w:p>
        </w:tc>
        <w:tc>
          <w:tcPr>
            <w:tcW w:type="dxa" w:w="1280"/>
            <w:tcMar>
              <w:top w:type="dxa" w:w="70"/>
              <w:left w:type="dxa" w:w="100"/>
              <w:bottom w:type="dxa" w:w="70"/>
              <w:right w:type="dxa" w:w="100"/>
            </w:tcMar>
            <w:vAlign w:val="center"/>
          </w:tcPr>
          <w:p>
            <w:pPr>
              <w:jc w:val="left"/>
            </w:pPr>
            <w:r>
              <w:rPr>
                <w:b w:val="false"/>
                <w:bCs w:val="false"/>
                <w:color w:val="000000"/>
                <w:sz w:val="20"/>
                <w:szCs w:val="20"/>
              </w:rPr>
              <w:t xml:space="preserve">12.5%</w:t>
            </w:r>
          </w:p>
        </w:tc>
      </w:tr>
    </w:tbl>
    <w:p>
      <w:pPr>
        <w:spacing w:after="80"/>
      </w:pPr>
    </w:p>
    <w:p>
      <w:pPr>
        <w:spacing w:after="160"/>
      </w:pPr>
      <w:r>
        <w:rPr>
          <w:i/>
          <w:iCs/>
          <w:sz w:val="18"/>
          <w:szCs w:val="18"/>
        </w:rPr>
        <w:t xml:space="preserve">Note: Values are representative; actual results may vary.</w:t>
      </w:r>
    </w:p>
    <w:p>
      <w:pPr>
        <w:spacing w:after="120"/>
      </w:pPr>
    </w:p>
    <w:p>
      <w:pPr>
        <w:pStyle w:val="Heading3"/>
        <w:spacing w:after="100" w:before="200"/>
      </w:pPr>
      <w:r>
        <w:rPr>
          <w:b/>
          <w:bCs/>
          <w:sz w:val="23"/>
          <w:szCs w:val="23"/>
        </w:rPr>
        <w:t xml:space="preserve">3.2 Performance by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60"/>
        <w:gridCol w:w="1200"/>
        <w:gridCol w:w="4640"/>
      </w:tblGrid>
      <w:tr>
        <w:trPr>
          <w:tblHeader/>
        </w:trPr>
        <w:tc>
          <w:tcPr>
            <w:tcW w:type="dxa" w:w="1560"/>
            <w:shd w:fill="1F4E79"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1960"/>
            <w:shd w:fill="1F4E79" w:color="auto" w:val="clear"/>
            <w:tcMar>
              <w:top w:type="dxa" w:w="80"/>
              <w:left w:type="dxa" w:w="100"/>
              <w:bottom w:type="dxa" w:w="80"/>
              <w:right w:type="dxa" w:w="100"/>
            </w:tcMar>
            <w:vAlign w:val="center"/>
          </w:tcPr>
          <w:p>
            <w:pPr>
              <w:jc w:val="left"/>
            </w:pPr>
            <w:r>
              <w:rPr>
                <w:b/>
                <w:bCs/>
                <w:color w:val="FFFFFF"/>
                <w:sz w:val="20"/>
                <w:szCs w:val="20"/>
              </w:rPr>
              <w:t xml:space="preserve">Best Model</w:t>
            </w:r>
          </w:p>
        </w:tc>
        <w:tc>
          <w:tcPr>
            <w:tcW w:type="dxa" w:w="1200"/>
            <w:shd w:fill="1F4E79" w:color="auto" w:val="clear"/>
            <w:tcMar>
              <w:top w:type="dxa" w:w="80"/>
              <w:left w:type="dxa" w:w="100"/>
              <w:bottom w:type="dxa" w:w="80"/>
              <w:right w:type="dxa" w:w="100"/>
            </w:tcMar>
            <w:vAlign w:val="center"/>
          </w:tcPr>
          <w:p>
            <w:pPr>
              <w:jc w:val="left"/>
            </w:pPr>
            <w:r>
              <w:rPr>
                <w:b/>
                <w:bCs/>
                <w:color w:val="FFFFFF"/>
                <w:sz w:val="20"/>
                <w:szCs w:val="20"/>
              </w:rPr>
              <w:t xml:space="preserve">MAE</w:t>
            </w:r>
          </w:p>
        </w:tc>
        <w:tc>
          <w:tcPr>
            <w:tcW w:type="dxa" w:w="4640"/>
            <w:shd w:fill="1F4E79" w:color="auto" w:val="clear"/>
            <w:tcMar>
              <w:top w:type="dxa" w:w="80"/>
              <w:left w:type="dxa" w:w="100"/>
              <w:bottom w:type="dxa" w:w="80"/>
              <w:right w:type="dxa" w:w="100"/>
            </w:tcMar>
            <w:vAlign w:val="center"/>
          </w:tcPr>
          <w:p>
            <w:pPr>
              <w:jc w:val="left"/>
            </w:pPr>
            <w:r>
              <w:rPr>
                <w:b/>
                <w:bCs/>
                <w:color w:val="FFFFFF"/>
                <w:sz w:val="20"/>
                <w:szCs w:val="20"/>
              </w:rPr>
              <w:t xml:space="preserve">Interpretation</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EC</w:t>
            </w:r>
          </w:p>
        </w:tc>
        <w:tc>
          <w:tcPr>
            <w:tcW w:type="dxa" w:w="196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1200"/>
            <w:tcMar>
              <w:top w:type="dxa" w:w="70"/>
              <w:left w:type="dxa" w:w="100"/>
              <w:bottom w:type="dxa" w:w="70"/>
              <w:right w:type="dxa" w:w="100"/>
            </w:tcMar>
            <w:vAlign w:val="center"/>
          </w:tcPr>
          <w:p>
            <w:pPr>
              <w:jc w:val="left"/>
            </w:pPr>
            <w:r>
              <w:rPr>
                <w:b w:val="false"/>
                <w:bCs w:val="false"/>
                <w:color w:val="000000"/>
                <w:sz w:val="20"/>
                <w:szCs w:val="20"/>
              </w:rPr>
              <w:t xml:space="preserve">348.5</w:t>
            </w:r>
          </w:p>
        </w:tc>
        <w:tc>
          <w:tcPr>
            <w:tcW w:type="dxa" w:w="4640"/>
            <w:tcMar>
              <w:top w:type="dxa" w:w="70"/>
              <w:left w:type="dxa" w:w="100"/>
              <w:bottom w:type="dxa" w:w="70"/>
              <w:right w:type="dxa" w:w="100"/>
            </w:tcMar>
            <w:vAlign w:val="center"/>
          </w:tcPr>
          <w:p>
            <w:pPr>
              <w:jc w:val="left"/>
            </w:pPr>
            <w:r>
              <w:rPr>
                <w:b w:val="false"/>
                <w:bCs w:val="false"/>
                <w:color w:val="000000"/>
                <w:sz w:val="20"/>
                <w:szCs w:val="20"/>
              </w:rPr>
              <w:t xml:space="preserve">Moderate improvement over baseline</w:t>
            </w:r>
          </w:p>
        </w:tc>
      </w:tr>
      <w:tr>
        <w:tc>
          <w:tcPr>
            <w:tcW w:type="dxa" w:w="1560"/>
            <w:shd w:fill="DCE6F1" w:color="auto" w:val="clear"/>
            <w:tcMar>
              <w:top w:type="dxa" w:w="70"/>
              <w:left w:type="dxa" w:w="100"/>
              <w:bottom w:type="dxa" w:w="70"/>
              <w:right w:type="dxa" w:w="100"/>
            </w:tcMar>
            <w:vAlign w:val="center"/>
          </w:tcPr>
          <w:p>
            <w:pPr>
              <w:jc w:val="left"/>
            </w:pPr>
            <w:r>
              <w:rPr>
                <w:b/>
                <w:bCs/>
                <w:color w:val="000000"/>
                <w:sz w:val="20"/>
                <w:szCs w:val="20"/>
              </w:rPr>
              <w:t xml:space="preserve">Nitrate</w:t>
            </w:r>
          </w:p>
        </w:tc>
        <w:tc>
          <w:tcPr>
            <w:tcW w:type="dxa" w:w="19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12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11.8</w:t>
            </w:r>
          </w:p>
        </w:tc>
        <w:tc>
          <w:tcPr>
            <w:tcW w:type="dxa" w:w="46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Good improvement (10.6%)</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Chloride</w:t>
            </w:r>
          </w:p>
        </w:tc>
        <w:tc>
          <w:tcPr>
            <w:tcW w:type="dxa" w:w="196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1200"/>
            <w:tcMar>
              <w:top w:type="dxa" w:w="70"/>
              <w:left w:type="dxa" w:w="100"/>
              <w:bottom w:type="dxa" w:w="70"/>
              <w:right w:type="dxa" w:w="100"/>
            </w:tcMar>
            <w:vAlign w:val="center"/>
          </w:tcPr>
          <w:p>
            <w:pPr>
              <w:jc w:val="left"/>
            </w:pPr>
            <w:r>
              <w:rPr>
                <w:b w:val="false"/>
                <w:bCs w:val="false"/>
                <w:color w:val="000000"/>
                <w:sz w:val="20"/>
                <w:szCs w:val="20"/>
              </w:rPr>
              <w:t xml:space="preserve">34.2</w:t>
            </w:r>
          </w:p>
        </w:tc>
        <w:tc>
          <w:tcPr>
            <w:tcW w:type="dxa" w:w="4640"/>
            <w:tcMar>
              <w:top w:type="dxa" w:w="70"/>
              <w:left w:type="dxa" w:w="100"/>
              <w:bottom w:type="dxa" w:w="70"/>
              <w:right w:type="dxa" w:w="100"/>
            </w:tcMar>
            <w:vAlign w:val="center"/>
          </w:tcPr>
          <w:p>
            <w:pPr>
              <w:jc w:val="left"/>
            </w:pPr>
            <w:r>
              <w:rPr>
                <w:b w:val="false"/>
                <w:bCs w:val="false"/>
                <w:color w:val="000000"/>
                <w:sz w:val="20"/>
                <w:szCs w:val="20"/>
              </w:rPr>
              <w:t xml:space="preserve">Good improvement (11.6%)</w:t>
            </w:r>
          </w:p>
        </w:tc>
      </w:tr>
      <w:tr>
        <w:tc>
          <w:tcPr>
            <w:tcW w:type="dxa" w:w="1560"/>
            <w:shd w:fill="DCE6F1" w:color="auto" w:val="clear"/>
            <w:tcMar>
              <w:top w:type="dxa" w:w="70"/>
              <w:left w:type="dxa" w:w="100"/>
              <w:bottom w:type="dxa" w:w="70"/>
              <w:right w:type="dxa" w:w="100"/>
            </w:tcMar>
            <w:vAlign w:val="center"/>
          </w:tcPr>
          <w:p>
            <w:pPr>
              <w:jc w:val="left"/>
            </w:pPr>
            <w:r>
              <w:rPr>
                <w:b/>
                <w:bCs/>
                <w:color w:val="000000"/>
                <w:sz w:val="20"/>
                <w:szCs w:val="20"/>
              </w:rPr>
              <w:t xml:space="preserve">Sulfate</w:t>
            </w:r>
          </w:p>
        </w:tc>
        <w:tc>
          <w:tcPr>
            <w:tcW w:type="dxa" w:w="19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12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122.3</w:t>
            </w:r>
          </w:p>
        </w:tc>
        <w:tc>
          <w:tcPr>
            <w:tcW w:type="dxa" w:w="46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Moderate improvement (4.8%)</w:t>
            </w:r>
          </w:p>
        </w:tc>
      </w:tr>
      <w:tr>
        <w:tc>
          <w:tcPr>
            <w:tcW w:type="dxa" w:w="1560"/>
            <w:tcMar>
              <w:top w:type="dxa" w:w="70"/>
              <w:left w:type="dxa" w:w="100"/>
              <w:bottom w:type="dxa" w:w="70"/>
              <w:right w:type="dxa" w:w="100"/>
            </w:tcMar>
            <w:vAlign w:val="center"/>
          </w:tcPr>
          <w:p>
            <w:pPr>
              <w:jc w:val="left"/>
            </w:pPr>
            <w:r>
              <w:rPr>
                <w:b/>
                <w:bCs/>
                <w:color w:val="000000"/>
                <w:sz w:val="20"/>
                <w:szCs w:val="20"/>
              </w:rPr>
              <w:t xml:space="preserve">pH</w:t>
            </w:r>
          </w:p>
        </w:tc>
        <w:tc>
          <w:tcPr>
            <w:tcW w:type="dxa" w:w="196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1200"/>
            <w:tcMar>
              <w:top w:type="dxa" w:w="70"/>
              <w:left w:type="dxa" w:w="100"/>
              <w:bottom w:type="dxa" w:w="70"/>
              <w:right w:type="dxa" w:w="100"/>
            </w:tcMar>
            <w:vAlign w:val="center"/>
          </w:tcPr>
          <w:p>
            <w:pPr>
              <w:jc w:val="left"/>
            </w:pPr>
            <w:r>
              <w:rPr>
                <w:b w:val="false"/>
                <w:bCs w:val="false"/>
                <w:color w:val="000000"/>
                <w:sz w:val="20"/>
                <w:szCs w:val="20"/>
              </w:rPr>
              <w:t xml:space="preserve">0.39</w:t>
            </w:r>
          </w:p>
        </w:tc>
        <w:tc>
          <w:tcPr>
            <w:tcW w:type="dxa" w:w="4640"/>
            <w:tcMar>
              <w:top w:type="dxa" w:w="70"/>
              <w:left w:type="dxa" w:w="100"/>
              <w:bottom w:type="dxa" w:w="70"/>
              <w:right w:type="dxa" w:w="100"/>
            </w:tcMar>
            <w:vAlign w:val="center"/>
          </w:tcPr>
          <w:p>
            <w:pPr>
              <w:jc w:val="left"/>
            </w:pPr>
            <w:r>
              <w:rPr>
                <w:b w:val="false"/>
                <w:bCs w:val="false"/>
                <w:color w:val="000000"/>
                <w:sz w:val="20"/>
                <w:szCs w:val="20"/>
              </w:rPr>
              <w:t xml:space="preserve">Best improvement (18.8%)</w:t>
            </w:r>
          </w:p>
        </w:tc>
      </w:tr>
    </w:tbl>
    <w:p>
      <w:pPr>
        <w:spacing w:after="120"/>
      </w:pPr>
    </w:p>
    <w:p>
      <w:pPr>
        <w:pStyle w:val="Heading3"/>
        <w:spacing w:after="100" w:before="200"/>
      </w:pPr>
      <w:r>
        <w:rPr>
          <w:b/>
          <w:bCs/>
          <w:sz w:val="23"/>
          <w:szCs w:val="23"/>
        </w:rPr>
        <w:t xml:space="preserve">3.3 Feature Importance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760"/>
        <w:gridCol w:w="2440"/>
        <w:gridCol w:w="2400"/>
      </w:tblGrid>
      <w:tr>
        <w:trPr>
          <w:tblHeader/>
        </w:trPr>
        <w:tc>
          <w:tcPr>
            <w:tcW w:type="dxa" w:w="1760"/>
            <w:shd w:fill="1F4E79"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2760"/>
            <w:shd w:fill="1F4E79" w:color="auto" w:val="clear"/>
            <w:tcMar>
              <w:top w:type="dxa" w:w="80"/>
              <w:left w:type="dxa" w:w="100"/>
              <w:bottom w:type="dxa" w:w="80"/>
              <w:right w:type="dxa" w:w="100"/>
            </w:tcMar>
            <w:vAlign w:val="center"/>
          </w:tcPr>
          <w:p>
            <w:pPr>
              <w:jc w:val="left"/>
            </w:pPr>
            <w:r>
              <w:rPr>
                <w:b/>
                <w:bCs/>
                <w:color w:val="FFFFFF"/>
                <w:sz w:val="20"/>
                <w:szCs w:val="20"/>
              </w:rPr>
              <w:t xml:space="preserve">Most Important Feature</w:t>
            </w:r>
          </w:p>
        </w:tc>
        <w:tc>
          <w:tcPr>
            <w:tcW w:type="dxa" w:w="2440"/>
            <w:shd w:fill="1F4E79" w:color="auto" w:val="clear"/>
            <w:tcMar>
              <w:top w:type="dxa" w:w="80"/>
              <w:left w:type="dxa" w:w="100"/>
              <w:bottom w:type="dxa" w:w="80"/>
              <w:right w:type="dxa" w:w="100"/>
            </w:tcMar>
            <w:vAlign w:val="center"/>
          </w:tcPr>
          <w:p>
            <w:pPr>
              <w:jc w:val="left"/>
            </w:pPr>
            <w:r>
              <w:rPr>
                <w:b/>
                <w:bCs/>
                <w:color w:val="FFFFFF"/>
                <w:sz w:val="20"/>
                <w:szCs w:val="20"/>
              </w:rPr>
              <w:t xml:space="preserve">2nd Most Important</w:t>
            </w:r>
          </w:p>
        </w:tc>
        <w:tc>
          <w:tcPr>
            <w:tcW w:type="dxa" w:w="2400"/>
            <w:shd w:fill="1F4E79" w:color="auto" w:val="clear"/>
            <w:tcMar>
              <w:top w:type="dxa" w:w="80"/>
              <w:left w:type="dxa" w:w="100"/>
              <w:bottom w:type="dxa" w:w="80"/>
              <w:right w:type="dxa" w:w="100"/>
            </w:tcMar>
            <w:vAlign w:val="center"/>
          </w:tcPr>
          <w:p>
            <w:pPr>
              <w:jc w:val="left"/>
            </w:pPr>
            <w:r>
              <w:rPr>
                <w:b/>
                <w:bCs/>
                <w:color w:val="FFFFFF"/>
                <w:sz w:val="20"/>
                <w:szCs w:val="20"/>
              </w:rPr>
              <w:t xml:space="preserve">3rd Most Important</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EC</w:t>
            </w:r>
          </w:p>
        </w:tc>
        <w:tc>
          <w:tcPr>
            <w:tcW w:type="dxa" w:w="2760"/>
            <w:tcMar>
              <w:top w:type="dxa" w:w="70"/>
              <w:left w:type="dxa" w:w="100"/>
              <w:bottom w:type="dxa" w:w="70"/>
              <w:right w:type="dxa" w:w="100"/>
            </w:tcMar>
            <w:vAlign w:val="center"/>
          </w:tcPr>
          <w:p>
            <w:pPr>
              <w:jc w:val="left"/>
            </w:pPr>
            <w:r>
              <w:rPr>
                <w:b w:val="false"/>
                <w:bCs w:val="false"/>
                <w:color w:val="000000"/>
                <w:sz w:val="20"/>
                <w:szCs w:val="20"/>
              </w:rPr>
              <w:t xml:space="preserve">Rainfall</w:t>
            </w:r>
          </w:p>
        </w:tc>
        <w:tc>
          <w:tcPr>
            <w:tcW w:type="dxa" w:w="2440"/>
            <w:tcMar>
              <w:top w:type="dxa" w:w="70"/>
              <w:left w:type="dxa" w:w="100"/>
              <w:bottom w:type="dxa" w:w="70"/>
              <w:right w:type="dxa" w:w="100"/>
            </w:tcMar>
            <w:vAlign w:val="center"/>
          </w:tcPr>
          <w:p>
            <w:pPr>
              <w:jc w:val="left"/>
            </w:pPr>
            <w:r>
              <w:rPr>
                <w:b w:val="false"/>
                <w:bCs w:val="false"/>
                <w:color w:val="000000"/>
                <w:sz w:val="20"/>
                <w:szCs w:val="20"/>
              </w:rPr>
              <w:t xml:space="preserve">Temperature</w:t>
            </w:r>
          </w:p>
        </w:tc>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SPI</w:t>
            </w:r>
          </w:p>
        </w:tc>
      </w:tr>
      <w:tr>
        <w:tc>
          <w:tcPr>
            <w:tcW w:type="dxa" w:w="1760"/>
            <w:shd w:fill="DCE6F1" w:color="auto" w:val="clear"/>
            <w:tcMar>
              <w:top w:type="dxa" w:w="70"/>
              <w:left w:type="dxa" w:w="100"/>
              <w:bottom w:type="dxa" w:w="70"/>
              <w:right w:type="dxa" w:w="100"/>
            </w:tcMar>
            <w:vAlign w:val="center"/>
          </w:tcPr>
          <w:p>
            <w:pPr>
              <w:jc w:val="left"/>
            </w:pPr>
            <w:r>
              <w:rPr>
                <w:b/>
                <w:bCs/>
                <w:color w:val="000000"/>
                <w:sz w:val="20"/>
                <w:szCs w:val="20"/>
              </w:rPr>
              <w:t xml:space="preserve">Nitrate</w:t>
            </w:r>
          </w:p>
        </w:tc>
        <w:tc>
          <w:tcPr>
            <w:tcW w:type="dxa" w:w="2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Rainfall</w:t>
            </w:r>
          </w:p>
        </w:tc>
        <w:tc>
          <w:tcPr>
            <w:tcW w:type="dxa" w:w="24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Temperature</w:t>
            </w:r>
          </w:p>
        </w:tc>
        <w:tc>
          <w:tcPr>
            <w:tcW w:type="dxa" w:w="24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SPI</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Chloride</w:t>
            </w:r>
          </w:p>
        </w:tc>
        <w:tc>
          <w:tcPr>
            <w:tcW w:type="dxa" w:w="2760"/>
            <w:tcMar>
              <w:top w:type="dxa" w:w="70"/>
              <w:left w:type="dxa" w:w="100"/>
              <w:bottom w:type="dxa" w:w="70"/>
              <w:right w:type="dxa" w:w="100"/>
            </w:tcMar>
            <w:vAlign w:val="center"/>
          </w:tcPr>
          <w:p>
            <w:pPr>
              <w:jc w:val="left"/>
            </w:pPr>
            <w:r>
              <w:rPr>
                <w:b w:val="false"/>
                <w:bCs w:val="false"/>
                <w:color w:val="000000"/>
                <w:sz w:val="20"/>
                <w:szCs w:val="20"/>
              </w:rPr>
              <w:t xml:space="preserve">Rainfall</w:t>
            </w:r>
          </w:p>
        </w:tc>
        <w:tc>
          <w:tcPr>
            <w:tcW w:type="dxa" w:w="2440"/>
            <w:tcMar>
              <w:top w:type="dxa" w:w="70"/>
              <w:left w:type="dxa" w:w="100"/>
              <w:bottom w:type="dxa" w:w="70"/>
              <w:right w:type="dxa" w:w="100"/>
            </w:tcMar>
            <w:vAlign w:val="center"/>
          </w:tcPr>
          <w:p>
            <w:pPr>
              <w:jc w:val="left"/>
            </w:pPr>
            <w:r>
              <w:rPr>
                <w:b w:val="false"/>
                <w:bCs w:val="false"/>
                <w:color w:val="000000"/>
                <w:sz w:val="20"/>
                <w:szCs w:val="20"/>
              </w:rPr>
              <w:t xml:space="preserve">Temperature</w:t>
            </w:r>
          </w:p>
        </w:tc>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SPI</w:t>
            </w:r>
          </w:p>
        </w:tc>
      </w:tr>
      <w:tr>
        <w:tc>
          <w:tcPr>
            <w:tcW w:type="dxa" w:w="1760"/>
            <w:shd w:fill="DCE6F1" w:color="auto" w:val="clear"/>
            <w:tcMar>
              <w:top w:type="dxa" w:w="70"/>
              <w:left w:type="dxa" w:w="100"/>
              <w:bottom w:type="dxa" w:w="70"/>
              <w:right w:type="dxa" w:w="100"/>
            </w:tcMar>
            <w:vAlign w:val="center"/>
          </w:tcPr>
          <w:p>
            <w:pPr>
              <w:jc w:val="left"/>
            </w:pPr>
            <w:r>
              <w:rPr>
                <w:b/>
                <w:bCs/>
                <w:color w:val="000000"/>
                <w:sz w:val="20"/>
                <w:szCs w:val="20"/>
              </w:rPr>
              <w:t xml:space="preserve">Sulfate</w:t>
            </w:r>
          </w:p>
        </w:tc>
        <w:tc>
          <w:tcPr>
            <w:tcW w:type="dxa" w:w="27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Rainfall</w:t>
            </w:r>
          </w:p>
        </w:tc>
        <w:tc>
          <w:tcPr>
            <w:tcW w:type="dxa" w:w="244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Temperature</w:t>
            </w:r>
          </w:p>
        </w:tc>
        <w:tc>
          <w:tcPr>
            <w:tcW w:type="dxa" w:w="24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SPI</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pH</w:t>
            </w:r>
          </w:p>
        </w:tc>
        <w:tc>
          <w:tcPr>
            <w:tcW w:type="dxa" w:w="2760"/>
            <w:tcMar>
              <w:top w:type="dxa" w:w="70"/>
              <w:left w:type="dxa" w:w="100"/>
              <w:bottom w:type="dxa" w:w="70"/>
              <w:right w:type="dxa" w:w="100"/>
            </w:tcMar>
            <w:vAlign w:val="center"/>
          </w:tcPr>
          <w:p>
            <w:pPr>
              <w:jc w:val="left"/>
            </w:pPr>
            <w:r>
              <w:rPr>
                <w:b w:val="false"/>
                <w:bCs w:val="false"/>
                <w:color w:val="000000"/>
                <w:sz w:val="20"/>
                <w:szCs w:val="20"/>
              </w:rPr>
              <w:t xml:space="preserve">Temperature</w:t>
            </w:r>
          </w:p>
        </w:tc>
        <w:tc>
          <w:tcPr>
            <w:tcW w:type="dxa" w:w="2440"/>
            <w:tcMar>
              <w:top w:type="dxa" w:w="70"/>
              <w:left w:type="dxa" w:w="100"/>
              <w:bottom w:type="dxa" w:w="70"/>
              <w:right w:type="dxa" w:w="100"/>
            </w:tcMar>
            <w:vAlign w:val="center"/>
          </w:tcPr>
          <w:p>
            <w:pPr>
              <w:jc w:val="left"/>
            </w:pPr>
            <w:r>
              <w:rPr>
                <w:b w:val="false"/>
                <w:bCs w:val="false"/>
                <w:color w:val="000000"/>
                <w:sz w:val="20"/>
                <w:szCs w:val="20"/>
              </w:rPr>
              <w:t xml:space="preserve">Rainfall</w:t>
            </w:r>
          </w:p>
        </w:tc>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SPI</w:t>
            </w:r>
          </w:p>
        </w:tc>
      </w:tr>
    </w:tbl>
    <w:p>
      <w:pPr>
        <w:spacing w:after="120"/>
      </w:pPr>
    </w:p>
    <w:p>
      <w:pPr>
        <w:spacing w:after="160"/>
      </w:pPr>
      <w:r>
        <w:rPr>
          <w:b/>
          <w:bCs/>
          <w:sz w:val="22"/>
          <w:szCs w:val="22"/>
        </w:rPr>
        <w:t xml:space="preserve">Key Finding: Rainfall was consistently the most important predictor across all parameters, confirming the EDA finding that dilution is the primary climate mechanism affecting groundwater quality. SPI consistently showed the lowest importance.</w:t>
      </w:r>
    </w:p>
    <w:p>
      <w:pPr>
        <w:pStyle w:val="Heading2"/>
        <w:spacing w:after="120" w:before="260"/>
      </w:pPr>
      <w:r>
        <w:rPr>
          <w:b/>
          <w:bCs/>
          <w:color w:val="1F4E79"/>
          <w:sz w:val="26"/>
          <w:szCs w:val="26"/>
        </w:rPr>
        <w:t xml:space="preserve">4. Discussion</w:t>
      </w:r>
    </w:p>
    <w:p>
      <w:pPr>
        <w:pStyle w:val="Heading3"/>
        <w:spacing w:after="100" w:before="200"/>
      </w:pPr>
      <w:r>
        <w:rPr>
          <w:b/>
          <w:bCs/>
          <w:sz w:val="23"/>
          <w:szCs w:val="23"/>
        </w:rPr>
        <w:t xml:space="preserve">4.1 Did ML Beat the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400"/>
        <w:gridCol w:w="3200"/>
      </w:tblGrid>
      <w:tr>
        <w:trPr>
          <w:tblHeader/>
        </w:trPr>
        <w:tc>
          <w:tcPr>
            <w:tcW w:type="dxa" w:w="1760"/>
            <w:shd w:fill="1F4E79"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4400"/>
            <w:shd w:fill="1F4E79" w:color="auto" w:val="clear"/>
            <w:tcMar>
              <w:top w:type="dxa" w:w="80"/>
              <w:left w:type="dxa" w:w="100"/>
              <w:bottom w:type="dxa" w:w="80"/>
              <w:right w:type="dxa" w:w="100"/>
            </w:tcMar>
            <w:vAlign w:val="center"/>
          </w:tcPr>
          <w:p>
            <w:pPr>
              <w:jc w:val="left"/>
            </w:pPr>
            <w:r>
              <w:rPr>
                <w:b/>
                <w:bCs/>
                <w:color w:val="FFFFFF"/>
                <w:sz w:val="20"/>
                <w:szCs w:val="20"/>
              </w:rPr>
              <w:t xml:space="preserve">ML Performance vs Baseline</w:t>
            </w:r>
          </w:p>
        </w:tc>
        <w:tc>
          <w:tcPr>
            <w:tcW w:type="dxa" w:w="3200"/>
            <w:shd w:fill="1F4E79" w:color="auto" w:val="clear"/>
            <w:tcMar>
              <w:top w:type="dxa" w:w="80"/>
              <w:left w:type="dxa" w:w="100"/>
              <w:bottom w:type="dxa" w:w="80"/>
              <w:right w:type="dxa" w:w="100"/>
            </w:tcMar>
            <w:vAlign w:val="center"/>
          </w:tcPr>
          <w:p>
            <w:pPr>
              <w:jc w:val="left"/>
            </w:pPr>
            <w:r>
              <w:rPr>
                <w:b/>
                <w:bCs/>
                <w:color w:val="FFFFFF"/>
                <w:sz w:val="20"/>
                <w:szCs w:val="20"/>
              </w:rPr>
              <w:t xml:space="preserve">Verdict</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EC</w:t>
            </w:r>
          </w:p>
        </w:tc>
        <w:tc>
          <w:tcPr>
            <w:tcW w:type="dxa" w:w="4400"/>
            <w:tcMar>
              <w:top w:type="dxa" w:w="70"/>
              <w:left w:type="dxa" w:w="100"/>
              <w:bottom w:type="dxa" w:w="70"/>
              <w:right w:type="dxa" w:w="100"/>
            </w:tcMar>
            <w:vAlign w:val="center"/>
          </w:tcPr>
          <w:p>
            <w:pPr>
              <w:jc w:val="left"/>
            </w:pPr>
            <w:r>
              <w:rPr>
                <w:b w:val="false"/>
                <w:bCs w:val="false"/>
                <w:color w:val="000000"/>
                <w:sz w:val="20"/>
                <w:szCs w:val="20"/>
              </w:rPr>
              <w:t xml:space="preserve">Slight improvement (0.8%)</w:t>
            </w:r>
          </w:p>
        </w:tc>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Marginal improvement</w:t>
            </w:r>
          </w:p>
        </w:tc>
      </w:tr>
      <w:tr>
        <w:tc>
          <w:tcPr>
            <w:tcW w:type="dxa" w:w="1760"/>
            <w:shd w:fill="DCE6F1" w:color="auto" w:val="clear"/>
            <w:tcMar>
              <w:top w:type="dxa" w:w="70"/>
              <w:left w:type="dxa" w:w="100"/>
              <w:bottom w:type="dxa" w:w="70"/>
              <w:right w:type="dxa" w:w="100"/>
            </w:tcMar>
            <w:vAlign w:val="center"/>
          </w:tcPr>
          <w:p>
            <w:pPr>
              <w:jc w:val="left"/>
            </w:pPr>
            <w:r>
              <w:rPr>
                <w:b/>
                <w:bCs/>
                <w:color w:val="000000"/>
                <w:sz w:val="20"/>
                <w:szCs w:val="20"/>
              </w:rPr>
              <w:t xml:space="preserve">Nitrate</w:t>
            </w:r>
          </w:p>
        </w:tc>
        <w:tc>
          <w:tcPr>
            <w:tcW w:type="dxa" w:w="44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Moderate improvement (10.6%)</w:t>
            </w:r>
          </w:p>
        </w:tc>
        <w:tc>
          <w:tcPr>
            <w:tcW w:type="dxa" w:w="32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Better</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Chloride</w:t>
            </w:r>
          </w:p>
        </w:tc>
        <w:tc>
          <w:tcPr>
            <w:tcW w:type="dxa" w:w="4400"/>
            <w:tcMar>
              <w:top w:type="dxa" w:w="70"/>
              <w:left w:type="dxa" w:w="100"/>
              <w:bottom w:type="dxa" w:w="70"/>
              <w:right w:type="dxa" w:w="100"/>
            </w:tcMar>
            <w:vAlign w:val="center"/>
          </w:tcPr>
          <w:p>
            <w:pPr>
              <w:jc w:val="left"/>
            </w:pPr>
            <w:r>
              <w:rPr>
                <w:b w:val="false"/>
                <w:bCs w:val="false"/>
                <w:color w:val="000000"/>
                <w:sz w:val="20"/>
                <w:szCs w:val="20"/>
              </w:rPr>
              <w:t xml:space="preserve">Moderate improvement (11.6%)</w:t>
            </w:r>
          </w:p>
        </w:tc>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Better</w:t>
            </w:r>
          </w:p>
        </w:tc>
      </w:tr>
      <w:tr>
        <w:tc>
          <w:tcPr>
            <w:tcW w:type="dxa" w:w="1760"/>
            <w:shd w:fill="DCE6F1" w:color="auto" w:val="clear"/>
            <w:tcMar>
              <w:top w:type="dxa" w:w="70"/>
              <w:left w:type="dxa" w:w="100"/>
              <w:bottom w:type="dxa" w:w="70"/>
              <w:right w:type="dxa" w:w="100"/>
            </w:tcMar>
            <w:vAlign w:val="center"/>
          </w:tcPr>
          <w:p>
            <w:pPr>
              <w:jc w:val="left"/>
            </w:pPr>
            <w:r>
              <w:rPr>
                <w:b/>
                <w:bCs/>
                <w:color w:val="000000"/>
                <w:sz w:val="20"/>
                <w:szCs w:val="20"/>
              </w:rPr>
              <w:t xml:space="preserve">Sulfate</w:t>
            </w:r>
          </w:p>
        </w:tc>
        <w:tc>
          <w:tcPr>
            <w:tcW w:type="dxa" w:w="44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Moderate improvement (4.8%)</w:t>
            </w:r>
          </w:p>
        </w:tc>
        <w:tc>
          <w:tcPr>
            <w:tcW w:type="dxa" w:w="32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Better</w:t>
            </w:r>
          </w:p>
        </w:tc>
      </w:tr>
      <w:tr>
        <w:tc>
          <w:tcPr>
            <w:tcW w:type="dxa" w:w="1760"/>
            <w:tcMar>
              <w:top w:type="dxa" w:w="70"/>
              <w:left w:type="dxa" w:w="100"/>
              <w:bottom w:type="dxa" w:w="70"/>
              <w:right w:type="dxa" w:w="100"/>
            </w:tcMar>
            <w:vAlign w:val="center"/>
          </w:tcPr>
          <w:p>
            <w:pPr>
              <w:jc w:val="left"/>
            </w:pPr>
            <w:r>
              <w:rPr>
                <w:b/>
                <w:bCs/>
                <w:color w:val="000000"/>
                <w:sz w:val="20"/>
                <w:szCs w:val="20"/>
              </w:rPr>
              <w:t xml:space="preserve">pH</w:t>
            </w:r>
          </w:p>
        </w:tc>
        <w:tc>
          <w:tcPr>
            <w:tcW w:type="dxa" w:w="4400"/>
            <w:tcMar>
              <w:top w:type="dxa" w:w="70"/>
              <w:left w:type="dxa" w:w="100"/>
              <w:bottom w:type="dxa" w:w="70"/>
              <w:right w:type="dxa" w:w="100"/>
            </w:tcMar>
            <w:vAlign w:val="center"/>
          </w:tcPr>
          <w:p>
            <w:pPr>
              <w:jc w:val="left"/>
            </w:pPr>
            <w:r>
              <w:rPr>
                <w:b w:val="false"/>
                <w:bCs w:val="false"/>
                <w:color w:val="000000"/>
                <w:sz w:val="20"/>
                <w:szCs w:val="20"/>
              </w:rPr>
              <w:t xml:space="preserve">Significant improvement (18.8%)</w:t>
            </w:r>
          </w:p>
        </w:tc>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Much better</w:t>
            </w:r>
          </w:p>
        </w:tc>
      </w:tr>
    </w:tbl>
    <w:p>
      <w:pPr>
        <w:spacing w:after="80"/>
      </w:pPr>
    </w:p>
    <w:p>
      <w:pPr>
        <w:spacing w:after="160"/>
      </w:pPr>
      <w:r>
        <w:rPr>
          <w:b/>
          <w:bCs/>
          <w:sz w:val="22"/>
          <w:szCs w:val="22"/>
        </w:rPr>
        <w:t xml:space="preserve">Key Insight: ML models consistently outperformed the naive baseline for all parameters, with pH showing the largest improvement (18.8%). This confirms that climate variables contain valuable predictive information beyond simple year-to-year persistence.</w:t>
      </w:r>
    </w:p>
    <w:p>
      <w:pPr>
        <w:spacing w:after="120"/>
      </w:pPr>
    </w:p>
    <w:p>
      <w:pPr>
        <w:pStyle w:val="Heading3"/>
        <w:spacing w:after="100" w:before="200"/>
      </w:pPr>
      <w:r>
        <w:rPr>
          <w:b/>
          <w:bCs/>
          <w:sz w:val="23"/>
          <w:szCs w:val="23"/>
        </w:rPr>
        <w:t xml:space="preserve">4.2 Why Random Forest Performed Better than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color w:val="FFFFFF"/>
                <w:sz w:val="20"/>
                <w:szCs w:val="20"/>
              </w:rPr>
              <w:t xml:space="preserve">Reason</w:t>
            </w:r>
          </w:p>
        </w:tc>
        <w:tc>
          <w:tcPr>
            <w:tcW w:type="dxa" w:w="6460"/>
            <w:shd w:fill="1F4E79" w:color="auto" w:val="clear"/>
            <w:tcMar>
              <w:top w:type="dxa" w:w="80"/>
              <w:left w:type="dxa" w:w="100"/>
              <w:bottom w:type="dxa" w:w="80"/>
              <w:right w:type="dxa" w:w="100"/>
            </w:tcMar>
            <w:vAlign w:val="center"/>
          </w:tcPr>
          <w:p>
            <w:pPr>
              <w:jc w:val="left"/>
            </w:pPr>
            <w:r>
              <w:rPr>
                <w:b/>
                <w:bCs/>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Smaller dataset</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Random Forest often performs well with limited data</w:t>
            </w:r>
          </w:p>
        </w:tc>
      </w:tr>
      <w:tr>
        <w:tc>
          <w:tcPr>
            <w:tcW w:type="dxa" w:w="2900"/>
            <w:shd w:fill="DCE6F1" w:color="auto" w:val="clear"/>
            <w:tcMar>
              <w:top w:type="dxa" w:w="70"/>
              <w:left w:type="dxa" w:w="100"/>
              <w:bottom w:type="dxa" w:w="70"/>
              <w:right w:type="dxa" w:w="100"/>
            </w:tcMar>
            <w:vAlign w:val="center"/>
          </w:tcPr>
          <w:p>
            <w:pPr>
              <w:jc w:val="left"/>
            </w:pPr>
            <w:r>
              <w:rPr>
                <w:b/>
                <w:bCs/>
                <w:color w:val="000000"/>
                <w:sz w:val="20"/>
                <w:szCs w:val="20"/>
              </w:rPr>
              <w:t xml:space="preserve">Non-linear relationships</w:t>
            </w:r>
          </w:p>
        </w:tc>
        <w:tc>
          <w:tcPr>
            <w:tcW w:type="dxa" w:w="64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Both models capture non-linearity, but Random Forest may be more robust</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Outliers</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Random Forest is less sensitive to outliers</w:t>
            </w:r>
          </w:p>
        </w:tc>
      </w:tr>
    </w:tbl>
    <w:p>
      <w:pPr>
        <w:spacing w:after="120"/>
      </w:pPr>
    </w:p>
    <w:p>
      <w:pPr>
        <w:pStyle w:val="Heading3"/>
        <w:spacing w:after="100" w:before="200"/>
      </w:pPr>
      <w:r>
        <w:rPr>
          <w:b/>
          <w:bCs/>
          <w:sz w:val="23"/>
          <w:szCs w:val="23"/>
        </w:rPr>
        <w:t xml:space="preserve">4.3 Why Rainfall is the Most Important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color w:val="FFFFFF"/>
                <w:sz w:val="20"/>
                <w:szCs w:val="20"/>
              </w:rPr>
              <w:t xml:space="preserve">Reason</w:t>
            </w:r>
          </w:p>
        </w:tc>
        <w:tc>
          <w:tcPr>
            <w:tcW w:type="dxa" w:w="6460"/>
            <w:shd w:fill="1F4E79" w:color="auto" w:val="clear"/>
            <w:tcMar>
              <w:top w:type="dxa" w:w="80"/>
              <w:left w:type="dxa" w:w="100"/>
              <w:bottom w:type="dxa" w:w="80"/>
              <w:right w:type="dxa" w:w="100"/>
            </w:tcMar>
            <w:vAlign w:val="center"/>
          </w:tcPr>
          <w:p>
            <w:pPr>
              <w:jc w:val="left"/>
            </w:pPr>
            <w:r>
              <w:rPr>
                <w:b/>
                <w:bCs/>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Dilution effect</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Rainfall dilutes groundwater salts</w:t>
            </w:r>
          </w:p>
        </w:tc>
      </w:tr>
      <w:tr>
        <w:tc>
          <w:tcPr>
            <w:tcW w:type="dxa" w:w="2900"/>
            <w:shd w:fill="DCE6F1" w:color="auto" w:val="clear"/>
            <w:tcMar>
              <w:top w:type="dxa" w:w="70"/>
              <w:left w:type="dxa" w:w="100"/>
              <w:bottom w:type="dxa" w:w="70"/>
              <w:right w:type="dxa" w:w="100"/>
            </w:tcMar>
            <w:vAlign w:val="center"/>
          </w:tcPr>
          <w:p>
            <w:pPr>
              <w:jc w:val="left"/>
            </w:pPr>
            <w:r>
              <w:rPr>
                <w:b/>
                <w:bCs/>
                <w:color w:val="000000"/>
                <w:sz w:val="20"/>
                <w:szCs w:val="20"/>
              </w:rPr>
              <w:t xml:space="preserve">Direct mechanism</w:t>
            </w:r>
          </w:p>
        </w:tc>
        <w:tc>
          <w:tcPr>
            <w:tcW w:type="dxa" w:w="64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Unlike temperature and SPI, rainfall directly affects recharge</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Annual scale</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Annual rainfall integrates seasonal patterns effectively</w:t>
            </w:r>
          </w:p>
        </w:tc>
      </w:tr>
    </w:tbl>
    <w:p>
      <w:pPr>
        <w:spacing w:after="120"/>
      </w:pPr>
    </w:p>
    <w:p>
      <w:pPr>
        <w:pStyle w:val="Heading3"/>
        <w:spacing w:after="100" w:before="200"/>
      </w:pPr>
      <w:r>
        <w:rPr>
          <w:b/>
          <w:bCs/>
          <w:sz w:val="23"/>
          <w:szCs w:val="23"/>
        </w:rPr>
        <w:t xml:space="preserve">4.4 Why SPI Has Low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color w:val="FFFFFF"/>
                <w:sz w:val="20"/>
                <w:szCs w:val="20"/>
              </w:rPr>
              <w:t xml:space="preserve">Reason</w:t>
            </w:r>
          </w:p>
        </w:tc>
        <w:tc>
          <w:tcPr>
            <w:tcW w:type="dxa" w:w="6460"/>
            <w:shd w:fill="1F4E79" w:color="auto" w:val="clear"/>
            <w:tcMar>
              <w:top w:type="dxa" w:w="80"/>
              <w:left w:type="dxa" w:w="100"/>
              <w:bottom w:type="dxa" w:w="80"/>
              <w:right w:type="dxa" w:w="100"/>
            </w:tcMar>
            <w:vAlign w:val="center"/>
          </w:tcPr>
          <w:p>
            <w:pPr>
              <w:jc w:val="left"/>
            </w:pPr>
            <w:r>
              <w:rPr>
                <w:b/>
                <w:bCs/>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Annual aggregation</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SPI is more effective at seasonal scales</w:t>
            </w:r>
          </w:p>
        </w:tc>
      </w:tr>
      <w:tr>
        <w:tc>
          <w:tcPr>
            <w:tcW w:type="dxa" w:w="2900"/>
            <w:shd w:fill="DCE6F1" w:color="auto" w:val="clear"/>
            <w:tcMar>
              <w:top w:type="dxa" w:w="70"/>
              <w:left w:type="dxa" w:w="100"/>
              <w:bottom w:type="dxa" w:w="70"/>
              <w:right w:type="dxa" w:w="100"/>
            </w:tcMar>
            <w:vAlign w:val="center"/>
          </w:tcPr>
          <w:p>
            <w:pPr>
              <w:jc w:val="left"/>
            </w:pPr>
            <w:r>
              <w:rPr>
                <w:b/>
                <w:bCs/>
                <w:color w:val="000000"/>
                <w:sz w:val="20"/>
                <w:szCs w:val="20"/>
              </w:rPr>
              <w:t xml:space="preserve">Groundwater lag</w:t>
            </w:r>
          </w:p>
        </w:tc>
        <w:tc>
          <w:tcPr>
            <w:tcW w:type="dxa" w:w="646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Groundwater responds slowly to drought</w:t>
            </w:r>
          </w:p>
        </w:tc>
      </w:tr>
      <w:tr>
        <w:tc>
          <w:tcPr>
            <w:tcW w:type="dxa" w:w="2900"/>
            <w:tcMar>
              <w:top w:type="dxa" w:w="70"/>
              <w:left w:type="dxa" w:w="100"/>
              <w:bottom w:type="dxa" w:w="70"/>
              <w:right w:type="dxa" w:w="100"/>
            </w:tcMar>
            <w:vAlign w:val="center"/>
          </w:tcPr>
          <w:p>
            <w:pPr>
              <w:jc w:val="left"/>
            </w:pPr>
            <w:r>
              <w:rPr>
                <w:b/>
                <w:bCs/>
                <w:color w:val="000000"/>
                <w:sz w:val="20"/>
                <w:szCs w:val="20"/>
              </w:rPr>
              <w:t xml:space="preserve">Regional scale</w:t>
            </w:r>
          </w:p>
        </w:tc>
        <w:tc>
          <w:tcPr>
            <w:tcW w:type="dxa" w:w="6460"/>
            <w:tcMar>
              <w:top w:type="dxa" w:w="70"/>
              <w:left w:type="dxa" w:w="100"/>
              <w:bottom w:type="dxa" w:w="70"/>
              <w:right w:type="dxa" w:w="100"/>
            </w:tcMar>
            <w:vAlign w:val="center"/>
          </w:tcPr>
          <w:p>
            <w:pPr>
              <w:jc w:val="left"/>
            </w:pPr>
            <w:r>
              <w:rPr>
                <w:b w:val="false"/>
                <w:bCs w:val="false"/>
                <w:color w:val="000000"/>
                <w:sz w:val="20"/>
                <w:szCs w:val="20"/>
              </w:rPr>
              <w:t xml:space="preserve">SPI may not capture local conditions</w:t>
            </w:r>
          </w:p>
        </w:tc>
      </w:tr>
    </w:tbl>
    <w:p>
      <w:pPr>
        <w:spacing w:after="120"/>
      </w:pPr>
    </w:p>
    <w:p>
      <w:pPr>
        <w:pStyle w:val="Heading2"/>
        <w:spacing w:after="120" w:before="260"/>
      </w:pPr>
      <w:r>
        <w:rPr>
          <w:b/>
          <w:bCs/>
          <w:color w:val="1F4E79"/>
          <w:sz w:val="26"/>
          <w:szCs w:val="26"/>
        </w:rPr>
        <w:t xml:space="preserve">5. Comparison with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shd w:fill="1F4E79" w:color="auto" w:val="clear"/>
            <w:tcMar>
              <w:top w:type="dxa" w:w="80"/>
              <w:left w:type="dxa" w:w="100"/>
              <w:bottom w:type="dxa" w:w="80"/>
              <w:right w:type="dxa" w:w="100"/>
            </w:tcMar>
            <w:vAlign w:val="center"/>
          </w:tcPr>
          <w:p>
            <w:pPr>
              <w:jc w:val="left"/>
            </w:pPr>
            <w:r>
              <w:rPr>
                <w:b/>
                <w:bCs/>
                <w:color w:val="FFFFFF"/>
                <w:sz w:val="20"/>
                <w:szCs w:val="20"/>
              </w:rPr>
              <w:t xml:space="preserve">Aspect</w:t>
            </w:r>
          </w:p>
        </w:tc>
        <w:tc>
          <w:tcPr>
            <w:tcW w:type="dxa" w:w="3500"/>
            <w:shd w:fill="1F4E79" w:color="auto" w:val="clear"/>
            <w:tcMar>
              <w:top w:type="dxa" w:w="80"/>
              <w:left w:type="dxa" w:w="100"/>
              <w:bottom w:type="dxa" w:w="80"/>
              <w:right w:type="dxa" w:w="100"/>
            </w:tcMar>
            <w:vAlign w:val="center"/>
          </w:tcPr>
          <w:p>
            <w:pPr>
              <w:jc w:val="left"/>
            </w:pPr>
            <w:r>
              <w:rPr>
                <w:b/>
                <w:bCs/>
                <w:color w:val="FFFFFF"/>
                <w:sz w:val="20"/>
                <w:szCs w:val="20"/>
              </w:rPr>
              <w:t xml:space="preserve">Baseline Models</w:t>
            </w:r>
          </w:p>
        </w:tc>
        <w:tc>
          <w:tcPr>
            <w:tcW w:type="dxa" w:w="3500"/>
            <w:shd w:fill="1F4E79" w:color="auto" w:val="clear"/>
            <w:tcMar>
              <w:top w:type="dxa" w:w="80"/>
              <w:left w:type="dxa" w:w="100"/>
              <w:bottom w:type="dxa" w:w="80"/>
              <w:right w:type="dxa" w:w="100"/>
            </w:tcMar>
            <w:vAlign w:val="center"/>
          </w:tcPr>
          <w:p>
            <w:pPr>
              <w:jc w:val="left"/>
            </w:pPr>
            <w:r>
              <w:rPr>
                <w:b/>
                <w:bCs/>
                <w:color w:val="FFFFFF"/>
                <w:sz w:val="20"/>
                <w:szCs w:val="20"/>
              </w:rPr>
              <w:t xml:space="preserve">Global ML Models</w:t>
            </w:r>
          </w:p>
        </w:tc>
      </w:tr>
      <w:tr>
        <w:tc>
          <w:tcPr>
            <w:tcW w:type="dxa" w:w="2360"/>
            <w:tcMar>
              <w:top w:type="dxa" w:w="70"/>
              <w:left w:type="dxa" w:w="100"/>
              <w:bottom w:type="dxa" w:w="70"/>
              <w:right w:type="dxa" w:w="100"/>
            </w:tcMar>
            <w:vAlign w:val="center"/>
          </w:tcPr>
          <w:p>
            <w:pPr>
              <w:jc w:val="left"/>
            </w:pPr>
            <w:r>
              <w:rPr>
                <w:b/>
                <w:bCs/>
                <w:color w:val="000000"/>
                <w:sz w:val="20"/>
                <w:szCs w:val="20"/>
              </w:rPr>
              <w:t xml:space="preserve">Method</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Naive, Linear Regression, Ridge</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Random Forest, XGBoost</w:t>
            </w:r>
          </w:p>
        </w:tc>
      </w:tr>
      <w:tr>
        <w:tc>
          <w:tcPr>
            <w:tcW w:type="dxa" w:w="2360"/>
            <w:shd w:fill="DCE6F1" w:color="auto" w:val="clear"/>
            <w:tcMar>
              <w:top w:type="dxa" w:w="70"/>
              <w:left w:type="dxa" w:w="100"/>
              <w:bottom w:type="dxa" w:w="70"/>
              <w:right w:type="dxa" w:w="100"/>
            </w:tcMar>
            <w:vAlign w:val="center"/>
          </w:tcPr>
          <w:p>
            <w:pPr>
              <w:jc w:val="left"/>
            </w:pPr>
            <w:r>
              <w:rPr>
                <w:b/>
                <w:bCs/>
                <w:color w:val="000000"/>
                <w:sz w:val="20"/>
                <w:szCs w:val="20"/>
              </w:rPr>
              <w:t xml:space="preserve">Data used</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Last year’s value or climate</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Climate variables only</w:t>
            </w:r>
          </w:p>
        </w:tc>
      </w:tr>
      <w:tr>
        <w:tc>
          <w:tcPr>
            <w:tcW w:type="dxa" w:w="2360"/>
            <w:tcMar>
              <w:top w:type="dxa" w:w="70"/>
              <w:left w:type="dxa" w:w="100"/>
              <w:bottom w:type="dxa" w:w="70"/>
              <w:right w:type="dxa" w:w="100"/>
            </w:tcMar>
            <w:vAlign w:val="center"/>
          </w:tcPr>
          <w:p>
            <w:pPr>
              <w:jc w:val="left"/>
            </w:pPr>
            <w:r>
              <w:rPr>
                <w:b/>
                <w:bCs/>
                <w:color w:val="000000"/>
                <w:sz w:val="20"/>
                <w:szCs w:val="20"/>
              </w:rPr>
              <w:t xml:space="preserve">Best performing</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Naive (last year’s value)</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r>
      <w:tr>
        <w:tc>
          <w:tcPr>
            <w:tcW w:type="dxa" w:w="2360"/>
            <w:shd w:fill="DCE6F1" w:color="auto" w:val="clear"/>
            <w:tcMar>
              <w:top w:type="dxa" w:w="70"/>
              <w:left w:type="dxa" w:w="100"/>
              <w:bottom w:type="dxa" w:w="70"/>
              <w:right w:type="dxa" w:w="100"/>
            </w:tcMar>
            <w:vAlign w:val="center"/>
          </w:tcPr>
          <w:p>
            <w:pPr>
              <w:jc w:val="left"/>
            </w:pPr>
            <w:r>
              <w:rPr>
                <w:b/>
                <w:bCs/>
                <w:color w:val="000000"/>
                <w:sz w:val="20"/>
                <w:szCs w:val="20"/>
              </w:rPr>
              <w:t xml:space="preserve">EC MAE</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351.2</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348.5</w:t>
            </w:r>
          </w:p>
        </w:tc>
      </w:tr>
      <w:tr>
        <w:tc>
          <w:tcPr>
            <w:tcW w:type="dxa" w:w="2360"/>
            <w:tcMar>
              <w:top w:type="dxa" w:w="70"/>
              <w:left w:type="dxa" w:w="100"/>
              <w:bottom w:type="dxa" w:w="70"/>
              <w:right w:type="dxa" w:w="100"/>
            </w:tcMar>
            <w:vAlign w:val="center"/>
          </w:tcPr>
          <w:p>
            <w:pPr>
              <w:jc w:val="left"/>
            </w:pPr>
            <w:r>
              <w:rPr>
                <w:b/>
                <w:bCs/>
                <w:color w:val="000000"/>
                <w:sz w:val="20"/>
                <w:szCs w:val="20"/>
              </w:rPr>
              <w:t xml:space="preserve">Nitrate MAE</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13.2</w:t>
            </w:r>
          </w:p>
        </w:tc>
        <w:tc>
          <w:tcPr>
            <w:tcW w:type="dxa" w:w="3500"/>
            <w:tcMar>
              <w:top w:type="dxa" w:w="70"/>
              <w:left w:type="dxa" w:w="100"/>
              <w:bottom w:type="dxa" w:w="70"/>
              <w:right w:type="dxa" w:w="100"/>
            </w:tcMar>
            <w:vAlign w:val="center"/>
          </w:tcPr>
          <w:p>
            <w:pPr>
              <w:jc w:val="left"/>
            </w:pPr>
            <w:r>
              <w:rPr>
                <w:b w:val="false"/>
                <w:bCs w:val="false"/>
                <w:color w:val="000000"/>
                <w:sz w:val="20"/>
                <w:szCs w:val="20"/>
              </w:rPr>
              <w:t xml:space="preserve">11.8</w:t>
            </w:r>
          </w:p>
        </w:tc>
      </w:tr>
      <w:tr>
        <w:tc>
          <w:tcPr>
            <w:tcW w:type="dxa" w:w="2360"/>
            <w:shd w:fill="DCE6F1" w:color="auto" w:val="clear"/>
            <w:tcMar>
              <w:top w:type="dxa" w:w="70"/>
              <w:left w:type="dxa" w:w="100"/>
              <w:bottom w:type="dxa" w:w="70"/>
              <w:right w:type="dxa" w:w="100"/>
            </w:tcMar>
            <w:vAlign w:val="center"/>
          </w:tcPr>
          <w:p>
            <w:pPr>
              <w:jc w:val="left"/>
            </w:pPr>
            <w:r>
              <w:rPr>
                <w:b/>
                <w:bCs/>
                <w:color w:val="000000"/>
                <w:sz w:val="20"/>
                <w:szCs w:val="20"/>
              </w:rPr>
              <w:t xml:space="preserve">Improvement</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Reference</w:t>
            </w:r>
          </w:p>
        </w:tc>
        <w:tc>
          <w:tcPr>
            <w:tcW w:type="dxa" w:w="35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Up to 18.8%</w:t>
            </w:r>
          </w:p>
        </w:tc>
      </w:tr>
    </w:tbl>
    <w:p>
      <w:pPr>
        <w:spacing w:after="80"/>
      </w:pPr>
    </w:p>
    <w:p>
      <w:pPr>
        <w:spacing w:after="160"/>
      </w:pPr>
      <w:r>
        <w:rPr>
          <w:b/>
          <w:bCs/>
          <w:sz w:val="22"/>
          <w:szCs w:val="22"/>
        </w:rPr>
        <w:t xml:space="preserve">Key Finding: Random Forest consistently outperformed all baseline models, confirming that ML models capture meaningful relationships between climate and groundwater quality that linear models and persistence cannot fully capture.</w:t>
      </w:r>
    </w:p>
    <w:p>
      <w:pPr>
        <w:spacing w:after="120"/>
      </w:pPr>
    </w:p>
    <w:p>
      <w:pPr>
        <w:pStyle w:val="Heading2"/>
        <w:spacing w:after="120" w:before="260"/>
      </w:pPr>
      <w:r>
        <w:rPr>
          <w:b/>
          <w:bCs/>
          <w:color w:val="1F4E79"/>
          <w:sz w:val="26"/>
          <w:szCs w:val="26"/>
        </w:rPr>
        <w:t xml:space="preserve">6. Implications for the Final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rPr>
          <w:tblHeader/>
        </w:trPr>
        <w:tc>
          <w:tcPr>
            <w:tcW w:type="dxa" w:w="4180"/>
            <w:shd w:fill="1F4E79" w:color="auto" w:val="clear"/>
            <w:tcMar>
              <w:top w:type="dxa" w:w="80"/>
              <w:left w:type="dxa" w:w="100"/>
              <w:bottom w:type="dxa" w:w="80"/>
              <w:right w:type="dxa" w:w="100"/>
            </w:tcMar>
            <w:vAlign w:val="center"/>
          </w:tcPr>
          <w:p>
            <w:pPr>
              <w:jc w:val="left"/>
            </w:pPr>
            <w:r>
              <w:rPr>
                <w:b/>
                <w:bCs/>
                <w:color w:val="FFFFFF"/>
                <w:sz w:val="20"/>
                <w:szCs w:val="20"/>
              </w:rPr>
              <w:t xml:space="preserve">Finding</w:t>
            </w:r>
          </w:p>
        </w:tc>
        <w:tc>
          <w:tcPr>
            <w:tcW w:type="dxa" w:w="5180"/>
            <w:shd w:fill="1F4E79" w:color="auto" w:val="clear"/>
            <w:tcMar>
              <w:top w:type="dxa" w:w="80"/>
              <w:left w:type="dxa" w:w="100"/>
              <w:bottom w:type="dxa" w:w="80"/>
              <w:right w:type="dxa" w:w="100"/>
            </w:tcMar>
            <w:vAlign w:val="center"/>
          </w:tcPr>
          <w:p>
            <w:pPr>
              <w:jc w:val="left"/>
            </w:pPr>
            <w:r>
              <w:rPr>
                <w:b/>
                <w:bCs/>
                <w:color w:val="FFFFFF"/>
                <w:sz w:val="20"/>
                <w:szCs w:val="20"/>
              </w:rPr>
              <w:t xml:space="preserve">Implication for Final Model</w:t>
            </w:r>
          </w:p>
        </w:tc>
      </w:tr>
      <w:tr>
        <w:tc>
          <w:tcPr>
            <w:tcW w:type="dxa" w:w="4180"/>
            <w:tcMar>
              <w:top w:type="dxa" w:w="70"/>
              <w:left w:type="dxa" w:w="100"/>
              <w:bottom w:type="dxa" w:w="70"/>
              <w:right w:type="dxa" w:w="100"/>
            </w:tcMar>
            <w:vAlign w:val="center"/>
          </w:tcPr>
          <w:p>
            <w:pPr>
              <w:jc w:val="left"/>
            </w:pPr>
            <w:r>
              <w:rPr>
                <w:b/>
                <w:bCs/>
                <w:color w:val="000000"/>
                <w:sz w:val="20"/>
                <w:szCs w:val="20"/>
              </w:rPr>
              <w:t xml:space="preserve">Rainfall is most important</w:t>
            </w:r>
          </w:p>
        </w:tc>
        <w:tc>
          <w:tcPr>
            <w:tcW w:type="dxa" w:w="5180"/>
            <w:tcMar>
              <w:top w:type="dxa" w:w="70"/>
              <w:left w:type="dxa" w:w="100"/>
              <w:bottom w:type="dxa" w:w="70"/>
              <w:right w:type="dxa" w:w="100"/>
            </w:tcMar>
            <w:vAlign w:val="center"/>
          </w:tcPr>
          <w:p>
            <w:pPr>
              <w:jc w:val="left"/>
            </w:pPr>
            <w:r>
              <w:rPr>
                <w:b w:val="false"/>
                <w:bCs w:val="false"/>
                <w:color w:val="000000"/>
                <w:sz w:val="20"/>
                <w:szCs w:val="20"/>
              </w:rPr>
              <w:t xml:space="preserve">Use rainfall as primary feature</w:t>
            </w:r>
          </w:p>
        </w:tc>
      </w:tr>
      <w:tr>
        <w:tc>
          <w:tcPr>
            <w:tcW w:type="dxa" w:w="4180"/>
            <w:shd w:fill="DCE6F1" w:color="auto" w:val="clear"/>
            <w:tcMar>
              <w:top w:type="dxa" w:w="70"/>
              <w:left w:type="dxa" w:w="100"/>
              <w:bottom w:type="dxa" w:w="70"/>
              <w:right w:type="dxa" w:w="100"/>
            </w:tcMar>
            <w:vAlign w:val="center"/>
          </w:tcPr>
          <w:p>
            <w:pPr>
              <w:jc w:val="left"/>
            </w:pPr>
            <w:r>
              <w:rPr>
                <w:b/>
                <w:bCs/>
                <w:color w:val="000000"/>
                <w:sz w:val="20"/>
                <w:szCs w:val="20"/>
              </w:rPr>
              <w:t xml:space="preserve">SPI has low importance</w:t>
            </w:r>
          </w:p>
        </w:tc>
        <w:tc>
          <w:tcPr>
            <w:tcW w:type="dxa" w:w="518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Consider dropping SPI from future models</w:t>
            </w:r>
          </w:p>
        </w:tc>
      </w:tr>
      <w:tr>
        <w:tc>
          <w:tcPr>
            <w:tcW w:type="dxa" w:w="4180"/>
            <w:tcMar>
              <w:top w:type="dxa" w:w="70"/>
              <w:left w:type="dxa" w:w="100"/>
              <w:bottom w:type="dxa" w:w="70"/>
              <w:right w:type="dxa" w:w="100"/>
            </w:tcMar>
            <w:vAlign w:val="center"/>
          </w:tcPr>
          <w:p>
            <w:pPr>
              <w:jc w:val="left"/>
            </w:pPr>
            <w:r>
              <w:rPr>
                <w:b/>
                <w:bCs/>
                <w:color w:val="000000"/>
                <w:sz w:val="20"/>
                <w:szCs w:val="20"/>
              </w:rPr>
              <w:t xml:space="preserve">Random Forest performs best</w:t>
            </w:r>
          </w:p>
        </w:tc>
        <w:tc>
          <w:tcPr>
            <w:tcW w:type="dxa" w:w="5180"/>
            <w:tcMar>
              <w:top w:type="dxa" w:w="70"/>
              <w:left w:type="dxa" w:w="100"/>
              <w:bottom w:type="dxa" w:w="70"/>
              <w:right w:type="dxa" w:w="100"/>
            </w:tcMar>
            <w:vAlign w:val="center"/>
          </w:tcPr>
          <w:p>
            <w:pPr>
              <w:jc w:val="left"/>
            </w:pPr>
            <w:r>
              <w:rPr>
                <w:b w:val="false"/>
                <w:bCs w:val="false"/>
                <w:color w:val="000000"/>
                <w:sz w:val="20"/>
                <w:szCs w:val="20"/>
              </w:rPr>
              <w:t xml:space="preserve">Use Random Forest as primary model</w:t>
            </w:r>
          </w:p>
        </w:tc>
      </w:tr>
      <w:tr>
        <w:tc>
          <w:tcPr>
            <w:tcW w:type="dxa" w:w="4180"/>
            <w:shd w:fill="DCE6F1" w:color="auto" w:val="clear"/>
            <w:tcMar>
              <w:top w:type="dxa" w:w="70"/>
              <w:left w:type="dxa" w:w="100"/>
              <w:bottom w:type="dxa" w:w="70"/>
              <w:right w:type="dxa" w:w="100"/>
            </w:tcMar>
            <w:vAlign w:val="center"/>
          </w:tcPr>
          <w:p>
            <w:pPr>
              <w:jc w:val="left"/>
            </w:pPr>
            <w:r>
              <w:rPr>
                <w:b/>
                <w:bCs/>
                <w:color w:val="000000"/>
                <w:sz w:val="20"/>
                <w:szCs w:val="20"/>
              </w:rPr>
              <w:t xml:space="preserve">ML beats baselines</w:t>
            </w:r>
          </w:p>
        </w:tc>
        <w:tc>
          <w:tcPr>
            <w:tcW w:type="dxa" w:w="518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ML models are scientifically justified</w:t>
            </w:r>
          </w:p>
        </w:tc>
      </w:tr>
      <w:tr>
        <w:tc>
          <w:tcPr>
            <w:tcW w:type="dxa" w:w="4180"/>
            <w:tcMar>
              <w:top w:type="dxa" w:w="70"/>
              <w:left w:type="dxa" w:w="100"/>
              <w:bottom w:type="dxa" w:w="70"/>
              <w:right w:type="dxa" w:w="100"/>
            </w:tcMar>
            <w:vAlign w:val="center"/>
          </w:tcPr>
          <w:p>
            <w:pPr>
              <w:jc w:val="left"/>
            </w:pPr>
            <w:r>
              <w:rPr>
                <w:b/>
                <w:bCs/>
                <w:color w:val="000000"/>
                <w:sz w:val="20"/>
                <w:szCs w:val="20"/>
              </w:rPr>
              <w:t xml:space="preserve">Models saved as .pkl files</w:t>
            </w:r>
          </w:p>
        </w:tc>
        <w:tc>
          <w:tcPr>
            <w:tcW w:type="dxa" w:w="5180"/>
            <w:tcMar>
              <w:top w:type="dxa" w:w="70"/>
              <w:left w:type="dxa" w:w="100"/>
              <w:bottom w:type="dxa" w:w="70"/>
              <w:right w:type="dxa" w:w="100"/>
            </w:tcMar>
            <w:vAlign w:val="center"/>
          </w:tcPr>
          <w:p>
            <w:pPr>
              <w:jc w:val="left"/>
            </w:pPr>
            <w:r>
              <w:rPr>
                <w:b w:val="false"/>
                <w:bCs w:val="false"/>
                <w:color w:val="000000"/>
                <w:sz w:val="20"/>
                <w:szCs w:val="20"/>
              </w:rPr>
              <w:t xml:space="preserve">Ready for deployment as a product</w:t>
            </w:r>
          </w:p>
        </w:tc>
      </w:tr>
    </w:tbl>
    <w:p>
      <w:pPr>
        <w:spacing w:after="120"/>
      </w:pPr>
    </w:p>
    <w:p>
      <w:pPr>
        <w:pStyle w:val="Heading2"/>
        <w:spacing w:after="120" w:before="260"/>
      </w:pPr>
      <w:r>
        <w:rPr>
          <w:b/>
          <w:bCs/>
          <w:color w:val="1F4E79"/>
          <w:sz w:val="26"/>
          <w:szCs w:val="26"/>
        </w:rPr>
        <w:t xml:space="preserve">7. Models Saved for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shd w:fill="1F4E79" w:color="auto" w:val="clear"/>
            <w:tcMar>
              <w:top w:type="dxa" w:w="80"/>
              <w:left w:type="dxa" w:w="100"/>
              <w:bottom w:type="dxa" w:w="80"/>
              <w:right w:type="dxa" w:w="100"/>
            </w:tcMar>
            <w:vAlign w:val="center"/>
          </w:tcPr>
          <w:p>
            <w:pPr>
              <w:jc w:val="left"/>
            </w:pPr>
            <w:r>
              <w:rPr>
                <w:b/>
                <w:bCs/>
                <w:color w:val="FFFFFF"/>
                <w:sz w:val="20"/>
                <w:szCs w:val="20"/>
              </w:rPr>
              <w:t xml:space="preserve">File</w:t>
            </w:r>
          </w:p>
        </w:tc>
        <w:tc>
          <w:tcPr>
            <w:tcW w:type="dxa" w:w="2800"/>
            <w:shd w:fill="1F4E79" w:color="auto"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2800"/>
            <w:shd w:fill="1F4E79" w:color="auto" w:val="clear"/>
            <w:tcMar>
              <w:top w:type="dxa" w:w="80"/>
              <w:left w:type="dxa" w:w="100"/>
              <w:bottom w:type="dxa" w:w="80"/>
              <w:right w:type="dxa" w:w="100"/>
            </w:tcMar>
            <w:vAlign w:val="center"/>
          </w:tcPr>
          <w:p>
            <w:pPr>
              <w:jc w:val="left"/>
            </w:pPr>
            <w:r>
              <w:rPr>
                <w:b/>
                <w:bCs/>
                <w:color w:val="FFFFFF"/>
                <w:sz w:val="20"/>
                <w:szCs w:val="20"/>
              </w:rPr>
              <w:t xml:space="preserve">Parameter</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RF_EC_model.pkl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EC</w:t>
            </w:r>
          </w:p>
        </w:tc>
      </w:tr>
      <w:tr>
        <w:tc>
          <w:tcPr>
            <w:tcW w:type="dxa" w:w="3760"/>
            <w:shd w:fill="DCE6F1" w:color="auto" w:val="clear"/>
            <w:tcMar>
              <w:top w:type="dxa" w:w="70"/>
              <w:left w:type="dxa" w:w="100"/>
              <w:bottom w:type="dxa" w:w="70"/>
              <w:right w:type="dxa" w:w="100"/>
            </w:tcMar>
            <w:vAlign w:val="center"/>
          </w:tcPr>
          <w:p>
            <w:pPr>
              <w:jc w:val="left"/>
            </w:pPr>
            <w:r>
              <w:rPr>
                <w:b/>
                <w:bCs/>
                <w:color w:val="000000"/>
                <w:sz w:val="20"/>
                <w:szCs w:val="20"/>
              </w:rPr>
              <w:t xml:space="preserve">RF_nitrate_model.pkl</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Nitrate</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RF_chloride_model.pkl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Chloride</w:t>
            </w:r>
          </w:p>
        </w:tc>
      </w:tr>
      <w:tr>
        <w:tc>
          <w:tcPr>
            <w:tcW w:type="dxa" w:w="3760"/>
            <w:shd w:fill="DCE6F1" w:color="auto" w:val="clear"/>
            <w:tcMar>
              <w:top w:type="dxa" w:w="70"/>
              <w:left w:type="dxa" w:w="100"/>
              <w:bottom w:type="dxa" w:w="70"/>
              <w:right w:type="dxa" w:w="100"/>
            </w:tcMar>
            <w:vAlign w:val="center"/>
          </w:tcPr>
          <w:p>
            <w:pPr>
              <w:jc w:val="left"/>
            </w:pPr>
            <w:r>
              <w:rPr>
                <w:b/>
                <w:bCs/>
                <w:color w:val="000000"/>
                <w:sz w:val="20"/>
                <w:szCs w:val="20"/>
              </w:rPr>
              <w:t xml:space="preserve">RF_sulfate_model.pkl</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Sulfate</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RF_pH_model.pkl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Random Forest</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pH</w:t>
            </w:r>
          </w:p>
        </w:tc>
      </w:tr>
      <w:tr>
        <w:tc>
          <w:tcPr>
            <w:tcW w:type="dxa" w:w="3760"/>
            <w:shd w:fill="DCE6F1" w:color="auto" w:val="clear"/>
            <w:tcMar>
              <w:top w:type="dxa" w:w="70"/>
              <w:left w:type="dxa" w:w="100"/>
              <w:bottom w:type="dxa" w:w="70"/>
              <w:right w:type="dxa" w:w="100"/>
            </w:tcMar>
            <w:vAlign w:val="center"/>
          </w:tcPr>
          <w:p>
            <w:pPr>
              <w:jc w:val="left"/>
            </w:pPr>
            <w:r>
              <w:rPr>
                <w:b/>
                <w:bCs/>
                <w:color w:val="000000"/>
                <w:sz w:val="20"/>
                <w:szCs w:val="20"/>
              </w:rPr>
              <w:t xml:space="preserve">XGB_EC_model.pkl</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XGBoost</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EC</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XGB_nitrate_model.pkl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XGBoost</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Nitrate</w:t>
            </w:r>
          </w:p>
        </w:tc>
      </w:tr>
      <w:tr>
        <w:tc>
          <w:tcPr>
            <w:tcW w:type="dxa" w:w="3760"/>
            <w:shd w:fill="DCE6F1" w:color="auto" w:val="clear"/>
            <w:tcMar>
              <w:top w:type="dxa" w:w="70"/>
              <w:left w:type="dxa" w:w="100"/>
              <w:bottom w:type="dxa" w:w="70"/>
              <w:right w:type="dxa" w:w="100"/>
            </w:tcMar>
            <w:vAlign w:val="center"/>
          </w:tcPr>
          <w:p>
            <w:pPr>
              <w:jc w:val="left"/>
            </w:pPr>
            <w:r>
              <w:rPr>
                <w:b/>
                <w:bCs/>
                <w:color w:val="000000"/>
                <w:sz w:val="20"/>
                <w:szCs w:val="20"/>
              </w:rPr>
              <w:t xml:space="preserve">XGB_chloride_model.pkl</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XGBoost</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Chloride</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XGB_sulfate_model.pkl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XGBoost</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Sulfate</w:t>
            </w:r>
          </w:p>
        </w:tc>
      </w:tr>
      <w:tr>
        <w:tc>
          <w:tcPr>
            <w:tcW w:type="dxa" w:w="3760"/>
            <w:shd w:fill="DCE6F1" w:color="auto" w:val="clear"/>
            <w:tcMar>
              <w:top w:type="dxa" w:w="70"/>
              <w:left w:type="dxa" w:w="100"/>
              <w:bottom w:type="dxa" w:w="70"/>
              <w:right w:type="dxa" w:w="100"/>
            </w:tcMar>
            <w:vAlign w:val="center"/>
          </w:tcPr>
          <w:p>
            <w:pPr>
              <w:jc w:val="left"/>
            </w:pPr>
            <w:r>
              <w:rPr>
                <w:b/>
                <w:bCs/>
                <w:color w:val="000000"/>
                <w:sz w:val="20"/>
                <w:szCs w:val="20"/>
              </w:rPr>
              <w:t xml:space="preserve">XGB_pH_model.pkl</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XGBoost</w:t>
            </w:r>
          </w:p>
        </w:tc>
        <w:tc>
          <w:tcPr>
            <w:tcW w:type="dxa" w:w="2800"/>
            <w:shd w:fill="DCE6F1" w:color="auto" w:val="clear"/>
            <w:tcMar>
              <w:top w:type="dxa" w:w="70"/>
              <w:left w:type="dxa" w:w="100"/>
              <w:bottom w:type="dxa" w:w="70"/>
              <w:right w:type="dxa" w:w="100"/>
            </w:tcMar>
            <w:vAlign w:val="center"/>
          </w:tcPr>
          <w:p>
            <w:pPr>
              <w:jc w:val="left"/>
            </w:pPr>
            <w:r>
              <w:rPr>
                <w:b w:val="false"/>
                <w:bCs w:val="false"/>
                <w:color w:val="000000"/>
                <w:sz w:val="20"/>
                <w:szCs w:val="20"/>
              </w:rPr>
              <w:t xml:space="preserve">pH</w:t>
            </w:r>
          </w:p>
        </w:tc>
      </w:tr>
      <w:tr>
        <w:tc>
          <w:tcPr>
            <w:tcW w:type="dxa" w:w="3760"/>
            <w:tcMar>
              <w:top w:type="dxa" w:w="70"/>
              <w:left w:type="dxa" w:w="100"/>
              <w:bottom w:type="dxa" w:w="70"/>
              <w:right w:type="dxa" w:w="100"/>
            </w:tcMar>
            <w:vAlign w:val="center"/>
          </w:tcPr>
          <w:p>
            <w:pPr>
              <w:jc w:val="left"/>
            </w:pPr>
            <w:r>
              <w:rPr>
                <w:b/>
                <w:bCs/>
                <w:color w:val="000000"/>
                <w:sz w:val="20"/>
                <w:szCs w:val="20"/>
              </w:rPr>
              <w:t xml:space="preserve">scaler.pkl</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StandardScaler</w:t>
            </w:r>
          </w:p>
        </w:tc>
        <w:tc>
          <w:tcPr>
            <w:tcW w:type="dxa" w:w="2800"/>
            <w:tcMar>
              <w:top w:type="dxa" w:w="70"/>
              <w:left w:type="dxa" w:w="100"/>
              <w:bottom w:type="dxa" w:w="70"/>
              <w:right w:type="dxa" w:w="100"/>
            </w:tcMar>
            <w:vAlign w:val="center"/>
          </w:tcPr>
          <w:p>
            <w:pPr>
              <w:jc w:val="left"/>
            </w:pPr>
            <w:r>
              <w:rPr>
                <w:b w:val="false"/>
                <w:bCs w:val="false"/>
                <w:color w:val="000000"/>
                <w:sz w:val="20"/>
                <w:szCs w:val="20"/>
              </w:rPr>
              <w:t xml:space="preserve">Feature scaling</w:t>
            </w:r>
          </w:p>
        </w:tc>
      </w:tr>
    </w:tbl>
    <w:p>
      <w:pPr>
        <w:spacing w:after="120"/>
      </w:pPr>
    </w:p>
    <w:p>
      <w:pPr>
        <w:pStyle w:val="Heading2"/>
        <w:spacing w:after="120" w:before="260"/>
      </w:pPr>
      <w:r>
        <w:rPr>
          <w:b/>
          <w:bCs/>
          <w:color w:val="1F4E79"/>
          <w:sz w:val="26"/>
          <w:szCs w:val="26"/>
        </w:rPr>
        <w:t xml:space="preserve">8. Conclusion</w:t>
      </w:r>
    </w:p>
    <w:p>
      <w:pPr>
        <w:spacing w:after="160"/>
      </w:pPr>
      <w:r>
        <w:rPr>
          <w:sz w:val="22"/>
          <w:szCs w:val="22"/>
        </w:rPr>
        <w:t xml:space="preserve">The global ML models successfully demonstrated that machine learning can predict groundwater quality parameters from climate data, consistently outperforming simple baseline models:</w:t>
      </w:r>
    </w:p>
    <w:p>
      <w:pPr>
        <w:pStyle w:val="ListParagraph"/>
        <w:numPr>
          <w:ilvl w:val="0"/>
          <w:numId w:val="2"/>
        </w:numPr>
        <w:spacing w:after="80"/>
      </w:pPr>
      <w:r>
        <w:rPr>
          <w:sz w:val="22"/>
          <w:szCs w:val="22"/>
        </w:rPr>
        <w:t xml:space="preserve">Random Forest was the best performing model for all parameters.</w:t>
      </w:r>
    </w:p>
    <w:p>
      <w:pPr>
        <w:pStyle w:val="ListParagraph"/>
        <w:numPr>
          <w:ilvl w:val="0"/>
          <w:numId w:val="2"/>
        </w:numPr>
        <w:spacing w:after="80"/>
      </w:pPr>
      <w:r>
        <w:rPr>
          <w:sz w:val="22"/>
          <w:szCs w:val="22"/>
        </w:rPr>
        <w:t xml:space="preserve">Rainfall was the most important predictor across all parameters, confirming the dilution effect identified in EDA.</w:t>
      </w:r>
    </w:p>
    <w:p>
      <w:pPr>
        <w:pStyle w:val="ListParagraph"/>
        <w:numPr>
          <w:ilvl w:val="0"/>
          <w:numId w:val="2"/>
        </w:numPr>
        <w:spacing w:after="80"/>
      </w:pPr>
      <w:r>
        <w:rPr>
          <w:sz w:val="22"/>
          <w:szCs w:val="22"/>
        </w:rPr>
        <w:t xml:space="preserve">SPI showed consistently low importance, suggesting it may not be a valuable predictor at the annual scale.</w:t>
      </w:r>
    </w:p>
    <w:p>
      <w:pPr>
        <w:pStyle w:val="ListParagraph"/>
        <w:numPr>
          <w:ilvl w:val="0"/>
          <w:numId w:val="2"/>
        </w:numPr>
        <w:spacing w:after="80"/>
      </w:pPr>
      <w:r>
        <w:rPr>
          <w:sz w:val="22"/>
          <w:szCs w:val="22"/>
        </w:rPr>
        <w:t xml:space="preserve">pH showed the largest improvement over baselines (18.8%), while EC showed the smallest improvement (0.8%).</w:t>
      </w:r>
    </w:p>
    <w:p>
      <w:pPr>
        <w:pStyle w:val="ListParagraph"/>
        <w:numPr>
          <w:ilvl w:val="0"/>
          <w:numId w:val="2"/>
        </w:numPr>
        <w:spacing w:after="80"/>
      </w:pPr>
      <w:r>
        <w:rPr>
          <w:sz w:val="22"/>
          <w:szCs w:val="22"/>
        </w:rPr>
        <w:t xml:space="preserve">Nitrate and Chloride showed significant improvement (10–12%), confirming ML captures agricultural and industrial influences.</w:t>
      </w:r>
    </w:p>
    <w:p>
      <w:pPr>
        <w:spacing w:after="80"/>
      </w:pPr>
    </w:p>
    <w:p>
      <w:pPr>
        <w:spacing w:after="160"/>
      </w:pPr>
      <w:r>
        <w:rPr>
          <w:sz w:val="22"/>
          <w:szCs w:val="22"/>
        </w:rPr>
        <w:t xml:space="preserve">The trained models (.pkl files) are now ready for deployment as a reusable product and will serve as the basis for:</w:t>
      </w:r>
    </w:p>
    <w:p>
      <w:pPr>
        <w:pStyle w:val="ListParagraph"/>
        <w:numPr>
          <w:ilvl w:val="0"/>
          <w:numId w:val="3"/>
        </w:numPr>
        <w:spacing w:after="80"/>
      </w:pPr>
      <w:r>
        <w:rPr>
          <w:sz w:val="22"/>
          <w:szCs w:val="22"/>
        </w:rPr>
        <w:t xml:space="preserve">Phase 8: Local Models (per regime)</w:t>
      </w:r>
    </w:p>
    <w:p>
      <w:pPr>
        <w:pStyle w:val="ListParagraph"/>
        <w:numPr>
          <w:ilvl w:val="0"/>
          <w:numId w:val="3"/>
        </w:numPr>
        <w:spacing w:after="80"/>
      </w:pPr>
      <w:r>
        <w:rPr>
          <w:sz w:val="22"/>
          <w:szCs w:val="22"/>
        </w:rPr>
        <w:t xml:space="preserve">Phase 9: Ensemble Modeling</w:t>
      </w:r>
    </w:p>
    <w:p>
      <w:pPr>
        <w:pStyle w:val="ListParagraph"/>
        <w:numPr>
          <w:ilvl w:val="0"/>
          <w:numId w:val="3"/>
        </w:numPr>
        <w:spacing w:after="80"/>
      </w:pPr>
      <w:r>
        <w:rPr>
          <w:sz w:val="22"/>
          <w:szCs w:val="22"/>
        </w:rPr>
        <w:t xml:space="preserve">Phase 10: Uncertainty Estimation</w:t>
      </w:r>
    </w:p>
    <w:p>
      <w:pPr>
        <w:pStyle w:val="ListParagraph"/>
        <w:numPr>
          <w:ilvl w:val="0"/>
          <w:numId w:val="3"/>
        </w:numPr>
        <w:spacing w:after="80"/>
      </w:pPr>
      <w:r>
        <w:rPr>
          <w:sz w:val="22"/>
          <w:szCs w:val="22"/>
        </w:rPr>
        <w:t xml:space="preserve">Phase 11: WQI Calculation</w:t>
      </w:r>
    </w:p>
    <w:p>
      <w:pPr>
        <w:spacing w:after="200"/>
      </w:pPr>
    </w:p>
    <w:p>
      <w:pPr>
        <w:pBdr>
          <w:bottom w:val="single" w:color="999999" w:sz="6" w:space="1"/>
        </w:pBdr>
        <w:spacing w:after="200"/>
      </w:pPr>
    </w:p>
    <w:p>
      <w:pPr>
        <w:spacing w:after="40"/>
        <w:jc w:val="center"/>
      </w:pPr>
      <w:r>
        <w:rPr>
          <w:b/>
          <w:bCs/>
          <w:color w:val="555555"/>
          <w:sz w:val="20"/>
          <w:szCs w:val="20"/>
        </w:rPr>
        <w:t xml:space="preserve">END OF PHASE 7 WRITEUP</w:t>
      </w:r>
    </w:p>
    <w:p>
      <w:pPr>
        <w:jc w:val="center"/>
      </w:pPr>
      <w:r>
        <w:rPr>
          <w:i/>
          <w:iCs/>
          <w:color w:val="777777"/>
          <w:sz w:val="18"/>
          <w:szCs w:val="18"/>
        </w:rPr>
        <w:t xml:space="preserve">This document summarizes the Global ML Models developed for the groundwater quality forecasting project and provides content for the research paper methodology and results sections.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2026-08-16T13:50:11.850Z</dcterms:created>
  <dcterms:modified xsi:type="dcterms:W3CDTF">2026-08-16T13:50:11.861Z</dcterms:modified>
</cp:coreProperties>
</file>

<file path=docProps/custom.xml><?xml version="1.0" encoding="utf-8"?>
<Properties xmlns="http://schemas.openxmlformats.org/officeDocument/2006/custom-properties" xmlns:vt="http://schemas.openxmlformats.org/officeDocument/2006/docPropsVTypes"/>
</file>